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2DD5" w14:textId="77777777" w:rsidR="000E3C3D" w:rsidRDefault="000E3C3D">
      <w:pPr>
        <w:pBdr>
          <w:top w:val="none" w:sz="0" w:space="4" w:color="auto"/>
        </w:pBdr>
        <w:spacing w:after="0" w:line="275" w:lineRule="atLeast"/>
        <w:jc w:val="both"/>
      </w:pPr>
      <w:bookmarkStart w:id="0" w:name="I6adb6490b9bb11eeaece92e459f12ff5_Targe"/>
      <w:bookmarkStart w:id="1" w:name="co_document_1"/>
      <w:bookmarkEnd w:id="0"/>
    </w:p>
    <w:bookmarkStart w:id="2" w:name="co_readingModeCitatorFlag_1"/>
    <w:bookmarkStart w:id="3" w:name="co_readingModeKC_1"/>
    <w:bookmarkEnd w:id="1"/>
    <w:p w14:paraId="2DA037D8" w14:textId="77777777" w:rsidR="000E3C3D" w:rsidRDefault="00000000">
      <w:pPr>
        <w:spacing w:after="0" w:line="235" w:lineRule="atLeast"/>
        <w:jc w:val="both"/>
      </w:pPr>
      <w:r>
        <w:fldChar w:fldCharType="begin"/>
      </w:r>
      <w:r>
        <w:instrText>HYPERLINK "https://1.next.westlaw.com/Link/RelatedInformation/Flag?documentGuid=I3a6dff40940511f09305ff317027791a&amp;transitionType=Document&amp;originationContext=docHeaderFlag&amp;Rank=0&amp;ppcid=98cc0ad1c1e140eea9806ce89d0a3844&amp;contextData=(sc.Keycite)" \h</w:instrText>
      </w:r>
      <w:r>
        <w:fldChar w:fldCharType="separate"/>
      </w:r>
      <w:r>
        <w:rPr>
          <w:rFonts w:ascii="Times New Roman" w:hAnsi="Times New Roman"/>
          <w:noProof/>
          <w:color w:val="006FC4"/>
          <w:sz w:val="30"/>
        </w:rPr>
        <w:drawing>
          <wp:inline distT="0" distB="0" distL="0" distR="0" wp14:anchorId="7E5684C1" wp14:editId="582FD813">
            <wp:extent cx="161925" cy="161925"/>
            <wp:effectExtent l="0" t="0" r="0" b="0"/>
            <wp:docPr id="1" name="Picture 1" descr="KeyCite Red Flag"/>
            <wp:cNvGraphicFramePr/>
            <a:graphic xmlns:a="http://schemas.openxmlformats.org/drawingml/2006/main">
              <a:graphicData uri="http://schemas.openxmlformats.org/drawingml/2006/picture">
                <pic:pic xmlns:pic="http://schemas.openxmlformats.org/drawingml/2006/picture">
                  <pic:nvPicPr>
                    <pic:cNvPr id="2" name="Picture 1" descr="KeyCite Red Flag"/>
                    <pic:cNvPicPr/>
                  </pic:nvPicPr>
                  <pic:blipFill>
                    <a:blip r:embed="rId6"/>
                    <a:srcRect/>
                    <a:stretch>
                      <a:fillRect/>
                    </a:stretch>
                  </pic:blipFill>
                  <pic:spPr>
                    <a:xfrm>
                      <a:off x="0" y="0"/>
                      <a:ext cx="161925" cy="161925"/>
                    </a:xfrm>
                    <a:prstGeom prst="rect">
                      <a:avLst/>
                    </a:prstGeom>
                  </pic:spPr>
                </pic:pic>
              </a:graphicData>
            </a:graphic>
          </wp:inline>
        </w:drawing>
      </w:r>
      <w:r>
        <w:fldChar w:fldCharType="end"/>
      </w:r>
      <w:r>
        <w:rPr>
          <w:rFonts w:ascii="Times New Roman" w:hAnsi="Times New Roman"/>
          <w:color w:val="1F1F1F"/>
          <w:sz w:val="16"/>
        </w:rPr>
        <w:t>KeyCite Red Flag</w:t>
      </w:r>
    </w:p>
    <w:p w14:paraId="768B2FDC" w14:textId="77777777" w:rsidR="000E3C3D" w:rsidRDefault="00000000">
      <w:pPr>
        <w:spacing w:after="0" w:line="235" w:lineRule="atLeast"/>
        <w:ind w:hanging="300"/>
        <w:jc w:val="both"/>
      </w:pPr>
      <w:bookmarkStart w:id="4" w:name="co_readingModeNegativeTreatment_1"/>
      <w:bookmarkEnd w:id="2"/>
      <w:bookmarkEnd w:id="3"/>
      <w:r>
        <w:rPr>
          <w:rFonts w:ascii="Times New Roman" w:hAnsi="Times New Roman"/>
          <w:color w:val="1F1F1F"/>
          <w:sz w:val="16"/>
        </w:rPr>
        <w:t> </w:t>
      </w:r>
      <w:r>
        <w:rPr>
          <w:rFonts w:ascii="Times New Roman" w:hAnsi="Times New Roman"/>
          <w:color w:val="1F1F1F"/>
          <w:sz w:val="16"/>
        </w:rPr>
        <w:tab/>
        <w:t xml:space="preserve">Reversed and Remanded by </w:t>
      </w:r>
      <w:hyperlink r:id="rId7">
        <w:r>
          <w:rPr>
            <w:rFonts w:ascii="Times New Roman" w:hAnsi="Times New Roman"/>
            <w:color w:val="006FC4"/>
            <w:sz w:val="16"/>
          </w:rPr>
          <w:t xml:space="preserve">Locke v. County of Hubbard, </w:t>
        </w:r>
      </w:hyperlink>
      <w:r>
        <w:rPr>
          <w:rFonts w:ascii="Times New Roman" w:hAnsi="Times New Roman"/>
          <w:color w:val="1F1F1F"/>
          <w:sz w:val="16"/>
        </w:rPr>
        <w:t>8th Cir.(Minn.), September 17, 2025</w:t>
      </w:r>
    </w:p>
    <w:bookmarkEnd w:id="4"/>
    <w:p w14:paraId="54B7F552" w14:textId="77777777" w:rsidR="000E3C3D" w:rsidRDefault="00000000">
      <w:pPr>
        <w:spacing w:after="0" w:line="275" w:lineRule="atLeast"/>
        <w:jc w:val="center"/>
      </w:pPr>
      <w:r>
        <w:rPr>
          <w:rFonts w:ascii="Georgia" w:hAnsi="Georgia"/>
          <w:color w:val="1F1F1F"/>
          <w:sz w:val="20"/>
        </w:rPr>
        <w:t>2024 WL 229984</w:t>
      </w:r>
    </w:p>
    <w:p w14:paraId="304B21EF" w14:textId="77777777" w:rsidR="000E3C3D" w:rsidRDefault="00000000">
      <w:pPr>
        <w:spacing w:after="0" w:line="275" w:lineRule="atLeast"/>
        <w:jc w:val="center"/>
      </w:pPr>
      <w:r>
        <w:rPr>
          <w:rFonts w:ascii="Georgia" w:hAnsi="Georgia"/>
          <w:color w:val="1F1F1F"/>
          <w:sz w:val="20"/>
        </w:rPr>
        <w:t>Only the Westlaw citation is currently available.</w:t>
      </w:r>
    </w:p>
    <w:p w14:paraId="4D618AD1" w14:textId="77777777" w:rsidR="000E3C3D" w:rsidRDefault="00000000">
      <w:pPr>
        <w:spacing w:after="0" w:line="275" w:lineRule="atLeast"/>
        <w:jc w:val="center"/>
      </w:pPr>
      <w:r>
        <w:rPr>
          <w:rFonts w:ascii="Georgia" w:hAnsi="Georgia"/>
          <w:color w:val="1F1F1F"/>
          <w:sz w:val="20"/>
        </w:rPr>
        <w:t>United States District Court, D. Minnesota.</w:t>
      </w:r>
    </w:p>
    <w:p w14:paraId="32174839" w14:textId="77777777" w:rsidR="000E3C3D" w:rsidRDefault="00000000">
      <w:pPr>
        <w:spacing w:before="240" w:after="0" w:line="312" w:lineRule="auto"/>
        <w:ind w:left="120" w:right="120"/>
        <w:jc w:val="center"/>
      </w:pPr>
      <w:hyperlink r:id="rId8">
        <w:r>
          <w:rPr>
            <w:rFonts w:ascii="Georgia" w:hAnsi="Georgia"/>
            <w:color w:val="006FC4"/>
          </w:rPr>
          <w:t>Matthew LOCKE,</w:t>
        </w:r>
      </w:hyperlink>
      <w:r>
        <w:rPr>
          <w:rFonts w:ascii="Georgia" w:hAnsi="Georgia"/>
          <w:color w:val="212121"/>
        </w:rPr>
        <w:t xml:space="preserve"> Plaintiff,</w:t>
      </w:r>
    </w:p>
    <w:p w14:paraId="423A7372" w14:textId="77777777" w:rsidR="000E3C3D" w:rsidRDefault="00000000">
      <w:pPr>
        <w:spacing w:after="0" w:line="312" w:lineRule="auto"/>
        <w:ind w:left="120" w:right="120"/>
        <w:jc w:val="center"/>
      </w:pPr>
      <w:r>
        <w:rPr>
          <w:rFonts w:ascii="Georgia" w:hAnsi="Georgia"/>
          <w:color w:val="212121"/>
        </w:rPr>
        <w:t>v.</w:t>
      </w:r>
    </w:p>
    <w:p w14:paraId="576BB3DB" w14:textId="77777777" w:rsidR="000E3C3D" w:rsidRDefault="00000000">
      <w:pPr>
        <w:spacing w:after="0" w:line="312" w:lineRule="auto"/>
        <w:ind w:left="120" w:right="120"/>
        <w:jc w:val="center"/>
      </w:pPr>
      <w:hyperlink r:id="rId9">
        <w:r>
          <w:rPr>
            <w:rFonts w:ascii="Georgia" w:hAnsi="Georgia"/>
            <w:color w:val="006FC4"/>
          </w:rPr>
          <w:t>COUNTY OF HUBBARD</w:t>
        </w:r>
      </w:hyperlink>
      <w:r>
        <w:rPr>
          <w:rFonts w:ascii="Georgia" w:hAnsi="Georgia"/>
          <w:color w:val="212121"/>
        </w:rPr>
        <w:t>; Cory Aukes, in his official and individual capacity; and Scott Parks, in his official and individual capacity, Defendants.</w:t>
      </w:r>
    </w:p>
    <w:p w14:paraId="59DFB16C" w14:textId="77777777" w:rsidR="000E3C3D" w:rsidRDefault="00000000">
      <w:pPr>
        <w:pBdr>
          <w:left w:val="none" w:sz="0" w:space="8" w:color="auto"/>
        </w:pBdr>
        <w:spacing w:before="240" w:after="0" w:line="275" w:lineRule="atLeast"/>
        <w:ind w:left="150"/>
        <w:jc w:val="center"/>
      </w:pPr>
      <w:r>
        <w:rPr>
          <w:rFonts w:ascii="Georgia" w:hAnsi="Georgia"/>
          <w:color w:val="1F1F1F"/>
          <w:sz w:val="20"/>
        </w:rPr>
        <w:t>Case No. 23-cv-0571 (WMW/LIB)</w:t>
      </w:r>
    </w:p>
    <w:p w14:paraId="75A66668" w14:textId="77777777" w:rsidR="000E3C3D" w:rsidRDefault="00000000">
      <w:pPr>
        <w:pBdr>
          <w:left w:val="none" w:sz="0" w:space="8" w:color="auto"/>
        </w:pBdr>
        <w:spacing w:after="0" w:line="275" w:lineRule="atLeast"/>
        <w:ind w:left="150"/>
        <w:jc w:val="center"/>
      </w:pPr>
      <w:r>
        <w:rPr>
          <w:rFonts w:ascii="Georgia" w:hAnsi="Georgia"/>
          <w:color w:val="1F1F1F"/>
          <w:sz w:val="20"/>
        </w:rPr>
        <w:t>|</w:t>
      </w:r>
    </w:p>
    <w:p w14:paraId="0BB38C62" w14:textId="77777777" w:rsidR="000E3C3D" w:rsidRDefault="00000000">
      <w:pPr>
        <w:pBdr>
          <w:left w:val="none" w:sz="0" w:space="8" w:color="auto"/>
        </w:pBdr>
        <w:spacing w:after="0" w:line="275" w:lineRule="atLeast"/>
        <w:ind w:left="150"/>
        <w:jc w:val="center"/>
      </w:pPr>
      <w:r>
        <w:rPr>
          <w:rFonts w:ascii="Georgia" w:hAnsi="Georgia"/>
          <w:color w:val="1F1F1F"/>
          <w:sz w:val="20"/>
        </w:rPr>
        <w:t>Signed January 22, 2024</w:t>
      </w:r>
    </w:p>
    <w:p w14:paraId="021D54F6" w14:textId="77777777" w:rsidR="000E3C3D" w:rsidRDefault="00000000">
      <w:pPr>
        <w:keepNext/>
        <w:keepLines/>
        <w:spacing w:before="400" w:after="0" w:line="275" w:lineRule="atLeast"/>
        <w:jc w:val="both"/>
      </w:pPr>
      <w:bookmarkStart w:id="5" w:name="co_attorneysAndLawFirms_1"/>
      <w:r>
        <w:rPr>
          <w:rFonts w:ascii="Times New Roman" w:hAnsi="Times New Roman"/>
          <w:b/>
          <w:color w:val="212121"/>
          <w:sz w:val="20"/>
        </w:rPr>
        <w:t>Attorneys and Law Firms</w:t>
      </w:r>
    </w:p>
    <w:bookmarkEnd w:id="5"/>
    <w:p w14:paraId="3A510E2D" w14:textId="77777777" w:rsidR="000E3C3D" w:rsidRDefault="00000000">
      <w:pPr>
        <w:spacing w:before="200" w:after="0" w:line="275" w:lineRule="atLeast"/>
        <w:jc w:val="both"/>
      </w:pPr>
      <w:r>
        <w:fldChar w:fldCharType="begin"/>
      </w:r>
      <w:r>
        <w:instrText>HYPERLINK "https://www.westlaw.com/Link/Document/FullText?findType=h&amp;pubNum=176284&amp;cite=0225715601&amp;originatingDoc=I6adb6490b9bb11eeaece92e459f12ff5&amp;refType=RQ&amp;originationContext=document&amp;vr=3.0&amp;rs=cblt1.0&amp;transitionType=DocumentItem&amp;contextData=(sc.Keycite)" \h</w:instrText>
      </w:r>
      <w:r>
        <w:fldChar w:fldCharType="separate"/>
      </w:r>
      <w:r>
        <w:rPr>
          <w:rFonts w:ascii="Times New Roman" w:hAnsi="Times New Roman"/>
          <w:color w:val="006FC4"/>
          <w:sz w:val="20"/>
        </w:rPr>
        <w:t>Timothy M. Phillips</w:t>
      </w:r>
      <w:r>
        <w:fldChar w:fldCharType="end"/>
      </w:r>
      <w:r>
        <w:rPr>
          <w:rFonts w:ascii="Times New Roman" w:hAnsi="Times New Roman"/>
          <w:color w:val="1F1F1F"/>
          <w:sz w:val="20"/>
        </w:rPr>
        <w:t>, Law Office of Tim Phillips, Minneapolis, MN,, for Plaintiff.</w:t>
      </w:r>
    </w:p>
    <w:p w14:paraId="52999FA7" w14:textId="77777777" w:rsidR="000E3C3D" w:rsidRDefault="00000000">
      <w:pPr>
        <w:spacing w:before="200" w:after="0" w:line="275" w:lineRule="atLeast"/>
        <w:jc w:val="both"/>
      </w:pPr>
      <w:r>
        <w:rPr>
          <w:rFonts w:ascii="Times New Roman" w:hAnsi="Times New Roman"/>
          <w:color w:val="1F1F1F"/>
          <w:sz w:val="20"/>
        </w:rPr>
        <w:t xml:space="preserve">Ashley Marie Ramstad, </w:t>
      </w:r>
      <w:hyperlink r:id="rId10">
        <w:r>
          <w:rPr>
            <w:rFonts w:ascii="Times New Roman" w:hAnsi="Times New Roman"/>
            <w:color w:val="006FC4"/>
            <w:sz w:val="20"/>
          </w:rPr>
          <w:t>Stephanie A. Angolkar</w:t>
        </w:r>
      </w:hyperlink>
      <w:r>
        <w:rPr>
          <w:rFonts w:ascii="Times New Roman" w:hAnsi="Times New Roman"/>
          <w:color w:val="1F1F1F"/>
          <w:sz w:val="20"/>
        </w:rPr>
        <w:t>, Iverson Reuvers, Bloomington, MN, for Defendants.</w:t>
      </w:r>
    </w:p>
    <w:p w14:paraId="6A8EA933" w14:textId="77777777" w:rsidR="000E3C3D" w:rsidRDefault="00000000">
      <w:pPr>
        <w:spacing w:before="800" w:after="0" w:line="275" w:lineRule="atLeast"/>
        <w:jc w:val="both"/>
      </w:pPr>
      <w:bookmarkStart w:id="6" w:name="co_anchor_If4cfd441fb9311efb8b8b5e202"/>
      <w:bookmarkStart w:id="7" w:name="co_anchor_If4cfd441fb9311efb8b8b5e2003d"/>
      <w:bookmarkStart w:id="8" w:name="co_anchor_If4c8f675fb9311efb8b8b5e2003d"/>
      <w:bookmarkStart w:id="9" w:name="co_opinion_1"/>
      <w:r>
        <w:rPr>
          <w:rFonts w:ascii="Times New Roman" w:hAnsi="Times New Roman"/>
          <w:b/>
          <w:color w:val="1F1F1F"/>
          <w:sz w:val="20"/>
        </w:rPr>
        <w:t>ORDER</w:t>
      </w:r>
    </w:p>
    <w:bookmarkEnd w:id="6"/>
    <w:bookmarkEnd w:id="7"/>
    <w:bookmarkEnd w:id="8"/>
    <w:bookmarkEnd w:id="9"/>
    <w:p w14:paraId="7DFDFA11" w14:textId="77777777" w:rsidR="000E3C3D" w:rsidRDefault="00000000">
      <w:pPr>
        <w:spacing w:before="400" w:after="0" w:line="275" w:lineRule="atLeast"/>
        <w:jc w:val="both"/>
      </w:pPr>
      <w:r>
        <w:fldChar w:fldCharType="begin"/>
      </w:r>
      <w:r>
        <w:instrText>HYPERLINK "https://www.westlaw.com/Link/Document/FullText?findType=h&amp;pubNum=176284&amp;cite=0179134901&amp;originatingDoc=I6adb6490b9bb11eeaece92e459f12ff5&amp;refType=RQ&amp;originationContext=document&amp;vr=3.0&amp;rs=cblt1.0&amp;transitionType=DocumentItem&amp;contextData=(sc.Keycite)" \h</w:instrText>
      </w:r>
      <w:r>
        <w:fldChar w:fldCharType="separate"/>
      </w:r>
      <w:r>
        <w:rPr>
          <w:rFonts w:ascii="Times New Roman" w:hAnsi="Times New Roman"/>
          <w:color w:val="006FC4"/>
          <w:sz w:val="20"/>
        </w:rPr>
        <w:t>Wilhelmina M. Wright</w:t>
      </w:r>
      <w:r>
        <w:fldChar w:fldCharType="end"/>
      </w:r>
      <w:r>
        <w:rPr>
          <w:rFonts w:ascii="Times New Roman" w:hAnsi="Times New Roman"/>
          <w:color w:val="1F1F1F"/>
          <w:sz w:val="20"/>
        </w:rPr>
        <w:t>, United States District Judge</w:t>
      </w:r>
    </w:p>
    <w:p w14:paraId="136F57A3" w14:textId="77777777" w:rsidR="000E3C3D" w:rsidRDefault="00000000">
      <w:pPr>
        <w:spacing w:before="200" w:after="0" w:line="275" w:lineRule="atLeast"/>
        <w:jc w:val="both"/>
      </w:pPr>
      <w:bookmarkStart w:id="10" w:name="co_pp_sp_999_1_1"/>
      <w:r>
        <w:rPr>
          <w:rFonts w:ascii="Times New Roman" w:hAnsi="Times New Roman"/>
          <w:b/>
          <w:color w:val="000000"/>
          <w:sz w:val="20"/>
        </w:rPr>
        <w:t>*1</w:t>
      </w:r>
      <w:bookmarkEnd w:id="10"/>
      <w:r>
        <w:rPr>
          <w:rFonts w:ascii="Times New Roman" w:hAnsi="Times New Roman"/>
          <w:color w:val="1F1F1F"/>
          <w:sz w:val="20"/>
        </w:rPr>
        <w:t xml:space="preserve"> This matter is before the Court on Defendants’ Motion to Dismiss. (</w:t>
      </w:r>
      <w:proofErr w:type="spellStart"/>
      <w:r>
        <w:rPr>
          <w:rFonts w:ascii="Times New Roman" w:hAnsi="Times New Roman"/>
          <w:color w:val="1F1F1F"/>
          <w:sz w:val="20"/>
        </w:rPr>
        <w:t>Dkt</w:t>
      </w:r>
      <w:proofErr w:type="spellEnd"/>
      <w:r>
        <w:rPr>
          <w:rFonts w:ascii="Times New Roman" w:hAnsi="Times New Roman"/>
          <w:color w:val="1F1F1F"/>
          <w:sz w:val="20"/>
        </w:rPr>
        <w:t>. 11.) For the reasons addressed below, the motion is granted.</w:t>
      </w:r>
    </w:p>
    <w:p w14:paraId="3181CCA0" w14:textId="77777777" w:rsidR="000E3C3D" w:rsidRDefault="00000000">
      <w:pPr>
        <w:spacing w:after="0" w:line="275" w:lineRule="atLeast"/>
        <w:jc w:val="both"/>
      </w:pPr>
      <w:r>
        <w:rPr>
          <w:rFonts w:ascii="Times New Roman" w:hAnsi="Times New Roman"/>
          <w:color w:val="1F1F1F"/>
          <w:sz w:val="20"/>
        </w:rPr>
        <w:t> </w:t>
      </w:r>
    </w:p>
    <w:p w14:paraId="5B93E9BE" w14:textId="77777777" w:rsidR="000E3C3D" w:rsidRDefault="00000000">
      <w:pPr>
        <w:spacing w:before="400" w:after="0" w:line="275" w:lineRule="atLeast"/>
        <w:jc w:val="both"/>
      </w:pPr>
      <w:bookmarkStart w:id="11" w:name="co_anchor_If4d04971fb9311efb8b8b5e2003d"/>
      <w:r>
        <w:rPr>
          <w:rFonts w:ascii="Times New Roman" w:hAnsi="Times New Roman"/>
          <w:b/>
          <w:color w:val="1F1F1F"/>
          <w:sz w:val="20"/>
        </w:rPr>
        <w:t>BACKGROUND</w:t>
      </w:r>
    </w:p>
    <w:bookmarkEnd w:id="11"/>
    <w:p w14:paraId="547B1323" w14:textId="77777777" w:rsidR="000E3C3D" w:rsidRDefault="00000000">
      <w:pPr>
        <w:spacing w:before="200" w:after="0" w:line="275" w:lineRule="atLeast"/>
        <w:jc w:val="both"/>
      </w:pPr>
      <w:r>
        <w:rPr>
          <w:rFonts w:ascii="Times New Roman" w:hAnsi="Times New Roman"/>
          <w:color w:val="1F1F1F"/>
          <w:sz w:val="20"/>
        </w:rPr>
        <w:t>Defendants Cory Aukes and Scott Parks are deputies for the Hubbard County Sherriff's Office. In August 2021, the deputies responded to a report that numerous protestors were trespassing on an Enbridge pipeline easement in Hubbard County, Minnesota. When the deputies arrived, they observed Plaintiff Matthew Locke and three other individuals who had attached themselves to two pieces of construction equipment using three sleeping dragon devices.</w:t>
      </w:r>
      <w:bookmarkStart w:id="12" w:name="co_fnRef_B00012078396060_ID0EXBAC_1"/>
      <w:r>
        <w:fldChar w:fldCharType="begin"/>
      </w:r>
      <w:r>
        <w:instrText>HYPERLINK \l "co_footnote_B00012078396060_1" \h</w:instrText>
      </w:r>
      <w:r>
        <w:fldChar w:fldCharType="separate"/>
      </w:r>
      <w:r>
        <w:rPr>
          <w:rFonts w:ascii="Times New Roman" w:hAnsi="Times New Roman"/>
          <w:color w:val="006FC4"/>
          <w:sz w:val="16"/>
          <w:vertAlign w:val="superscript"/>
        </w:rPr>
        <w:t>1</w:t>
      </w:r>
      <w:r>
        <w:fldChar w:fldCharType="end"/>
      </w:r>
      <w:bookmarkEnd w:id="12"/>
      <w:r>
        <w:rPr>
          <w:rFonts w:ascii="Times New Roman" w:hAnsi="Times New Roman"/>
          <w:color w:val="1F1F1F"/>
          <w:sz w:val="20"/>
        </w:rPr>
        <w:t xml:space="preserve"> To remove Locke from the construction equipment, the deputies attempted to use pain compliance techniques to get Locke to release himself from the equipment. Locke alleges that, as the deputies subjected him to the pain compliance techniques, the right side of his face no longer moved in a normal manner. When the deputies failed to remove Locke from the devices, Hubbard County and Cass County extraction teams arrived and removed Locke and the other individuals from the devices. Locke was transported to the hospital and subsequently to Hubbard County Jail.</w:t>
      </w:r>
    </w:p>
    <w:p w14:paraId="1099FBE3" w14:textId="77777777" w:rsidR="000E3C3D" w:rsidRDefault="00000000">
      <w:pPr>
        <w:spacing w:after="0" w:line="275" w:lineRule="atLeast"/>
        <w:jc w:val="both"/>
      </w:pPr>
      <w:r>
        <w:rPr>
          <w:rFonts w:ascii="Times New Roman" w:hAnsi="Times New Roman"/>
          <w:color w:val="1F1F1F"/>
          <w:sz w:val="20"/>
        </w:rPr>
        <w:t> </w:t>
      </w:r>
    </w:p>
    <w:p w14:paraId="7E60E297" w14:textId="77777777" w:rsidR="000E3C3D" w:rsidRDefault="00000000">
      <w:pPr>
        <w:spacing w:after="0" w:line="275" w:lineRule="atLeast"/>
        <w:jc w:val="both"/>
      </w:pPr>
      <w:r>
        <w:rPr>
          <w:rFonts w:ascii="Times New Roman" w:hAnsi="Times New Roman"/>
          <w:color w:val="1F1F1F"/>
          <w:sz w:val="20"/>
        </w:rPr>
        <w:t xml:space="preserve">Locke initiated this lawsuit against Defendant County of Hubbard and the two deputies in their official and individual capacity. Locke alleges that the pain compliance techniques used on him caused him to suffer </w:t>
      </w:r>
      <w:hyperlink r:id="rId11">
        <w:r>
          <w:rPr>
            <w:rFonts w:ascii="Times New Roman" w:hAnsi="Times New Roman"/>
            <w:color w:val="006FC4"/>
            <w:sz w:val="20"/>
          </w:rPr>
          <w:t>facial paralysis</w:t>
        </w:r>
      </w:hyperlink>
      <w:r>
        <w:rPr>
          <w:rFonts w:ascii="Times New Roman" w:hAnsi="Times New Roman"/>
          <w:color w:val="1F1F1F"/>
          <w:sz w:val="20"/>
        </w:rPr>
        <w:t xml:space="preserve">, emotional distress and tinnitus. In Count 1, Locke brings a claim of excessive force in violation of </w:t>
      </w:r>
      <w:hyperlink r:id="rId12">
        <w:r>
          <w:rPr>
            <w:rFonts w:ascii="Times New Roman" w:hAnsi="Times New Roman"/>
            <w:color w:val="006FC4"/>
            <w:sz w:val="20"/>
          </w:rPr>
          <w:t>42 U.S.C § 1983</w:t>
        </w:r>
      </w:hyperlink>
      <w:r>
        <w:rPr>
          <w:rFonts w:ascii="Times New Roman" w:hAnsi="Times New Roman"/>
          <w:color w:val="1F1F1F"/>
          <w:sz w:val="20"/>
        </w:rPr>
        <w:t xml:space="preserve"> and the Fourth and Fourteenth Amendments against Aukes and Parks. In Count 2 and Count 3, Locke brings claims of assault and battery against </w:t>
      </w:r>
      <w:r>
        <w:rPr>
          <w:rFonts w:ascii="Times New Roman" w:hAnsi="Times New Roman"/>
          <w:color w:val="1F1F1F"/>
          <w:sz w:val="20"/>
        </w:rPr>
        <w:lastRenderedPageBreak/>
        <w:t>Aukes, Parks and the County of Hubbard. Defendants move to dismiss this action, arguing that they are entitled to qualified immunity and official immunity.</w:t>
      </w:r>
    </w:p>
    <w:p w14:paraId="65E1C4B9" w14:textId="77777777" w:rsidR="000E3C3D" w:rsidRDefault="00000000">
      <w:pPr>
        <w:spacing w:after="0" w:line="275" w:lineRule="atLeast"/>
        <w:jc w:val="both"/>
      </w:pPr>
      <w:r>
        <w:rPr>
          <w:rFonts w:ascii="Times New Roman" w:hAnsi="Times New Roman"/>
          <w:color w:val="1F1F1F"/>
          <w:sz w:val="20"/>
        </w:rPr>
        <w:t> </w:t>
      </w:r>
    </w:p>
    <w:p w14:paraId="2144CF71" w14:textId="77777777" w:rsidR="000E3C3D" w:rsidRDefault="00000000">
      <w:pPr>
        <w:spacing w:before="400" w:after="0" w:line="275" w:lineRule="atLeast"/>
        <w:jc w:val="both"/>
      </w:pPr>
      <w:bookmarkStart w:id="13" w:name="co_anchor_If4d1d011fb9311efb8b8b5e2003d"/>
      <w:r>
        <w:rPr>
          <w:rFonts w:ascii="Times New Roman" w:hAnsi="Times New Roman"/>
          <w:b/>
          <w:color w:val="1F1F1F"/>
          <w:sz w:val="20"/>
        </w:rPr>
        <w:t>ANALYSIS</w:t>
      </w:r>
    </w:p>
    <w:bookmarkEnd w:id="13"/>
    <w:p w14:paraId="67D6DA8B" w14:textId="77777777" w:rsidR="000E3C3D" w:rsidRDefault="00000000">
      <w:pPr>
        <w:spacing w:before="200" w:after="0" w:line="275" w:lineRule="atLeast"/>
        <w:jc w:val="both"/>
      </w:pPr>
      <w:r>
        <w:rPr>
          <w:rFonts w:ascii="Times New Roman" w:hAnsi="Times New Roman"/>
          <w:color w:val="1F1F1F"/>
          <w:sz w:val="20"/>
        </w:rPr>
        <w:t xml:space="preserve">A complaint must be dismissed if it fails to state a claim on which relief can be granted. </w:t>
      </w:r>
      <w:hyperlink r:id="rId13">
        <w:r>
          <w:rPr>
            <w:rFonts w:ascii="Times New Roman" w:hAnsi="Times New Roman"/>
            <w:color w:val="006FC4"/>
            <w:sz w:val="20"/>
          </w:rPr>
          <w:t>Fed. R. Civ. P. 12(b)(6)</w:t>
        </w:r>
      </w:hyperlink>
      <w:r>
        <w:rPr>
          <w:rFonts w:ascii="Times New Roman" w:hAnsi="Times New Roman"/>
          <w:color w:val="1F1F1F"/>
          <w:sz w:val="20"/>
        </w:rPr>
        <w:t xml:space="preserve">. To survive a </w:t>
      </w:r>
      <w:hyperlink r:id="rId14">
        <w:r>
          <w:rPr>
            <w:rFonts w:ascii="Times New Roman" w:hAnsi="Times New Roman"/>
            <w:color w:val="006FC4"/>
            <w:sz w:val="20"/>
          </w:rPr>
          <w:t>Rule 12(b)(6)</w:t>
        </w:r>
      </w:hyperlink>
      <w:r>
        <w:rPr>
          <w:rFonts w:ascii="Times New Roman" w:hAnsi="Times New Roman"/>
          <w:color w:val="1F1F1F"/>
          <w:sz w:val="20"/>
        </w:rPr>
        <w:t xml:space="preserve"> motion to dismiss for failure to state a claim, the complaint must allege sufficient facts that, when accepted as true, state a facially plausible claim to relief. </w:t>
      </w:r>
      <w:hyperlink r:id="rId15" w:anchor="co_pp_sp_780_678">
        <w:r>
          <w:rPr>
            <w:rFonts w:ascii="Times New Roman" w:hAnsi="Times New Roman"/>
            <w:i/>
            <w:color w:val="006FC4"/>
            <w:sz w:val="20"/>
          </w:rPr>
          <w:t>Ashcroft v. Iqbal</w:t>
        </w:r>
        <w:r>
          <w:rPr>
            <w:rFonts w:ascii="Times New Roman" w:hAnsi="Times New Roman"/>
            <w:color w:val="006FC4"/>
            <w:sz w:val="20"/>
          </w:rPr>
          <w:t>, 556 U.S. 662, 678 (2009)</w:t>
        </w:r>
      </w:hyperlink>
      <w:r>
        <w:rPr>
          <w:rFonts w:ascii="Times New Roman" w:hAnsi="Times New Roman"/>
          <w:color w:val="1F1F1F"/>
          <w:sz w:val="20"/>
        </w:rPr>
        <w:t xml:space="preserve">. When determining whether the complaint states such a claim, a district court accepts as true all factual allegations in the complaint and draws all reasonable inferences in the plaintiff's favor. </w:t>
      </w:r>
      <w:hyperlink r:id="rId16" w:anchor="co_pp_sp_506_853">
        <w:r>
          <w:rPr>
            <w:rFonts w:ascii="Times New Roman" w:hAnsi="Times New Roman"/>
            <w:i/>
            <w:color w:val="006FC4"/>
            <w:sz w:val="20"/>
          </w:rPr>
          <w:t>Blankenship v. USA Truck, Inc.</w:t>
        </w:r>
        <w:r>
          <w:rPr>
            <w:rFonts w:ascii="Times New Roman" w:hAnsi="Times New Roman"/>
            <w:color w:val="006FC4"/>
            <w:sz w:val="20"/>
          </w:rPr>
          <w:t>, 601 F.3d 852, 853 (8th Cir. 2010)</w:t>
        </w:r>
      </w:hyperlink>
      <w:r>
        <w:rPr>
          <w:rFonts w:ascii="Times New Roman" w:hAnsi="Times New Roman"/>
          <w:color w:val="1F1F1F"/>
          <w:sz w:val="20"/>
        </w:rPr>
        <w:t xml:space="preserve">. The factual allegations need not be detailed, but they must be sufficient to “raise a right to relief above the speculative level” and “state a claim to relief that is plausible on its face.” </w:t>
      </w:r>
      <w:hyperlink r:id="rId17" w:anchor="co_pp_sp_780_555">
        <w:r>
          <w:rPr>
            <w:rFonts w:ascii="Times New Roman" w:hAnsi="Times New Roman"/>
            <w:i/>
            <w:color w:val="006FC4"/>
            <w:sz w:val="20"/>
          </w:rPr>
          <w:t>Bell Atl. Corp. v. Twombly</w:t>
        </w:r>
        <w:r>
          <w:rPr>
            <w:rFonts w:ascii="Times New Roman" w:hAnsi="Times New Roman"/>
            <w:color w:val="006FC4"/>
            <w:sz w:val="20"/>
          </w:rPr>
          <w:t>, 550 U.S. 544, 555, 570 (2007)</w:t>
        </w:r>
      </w:hyperlink>
      <w:r>
        <w:rPr>
          <w:rFonts w:ascii="Times New Roman" w:hAnsi="Times New Roman"/>
          <w:color w:val="1F1F1F"/>
          <w:sz w:val="20"/>
        </w:rPr>
        <w:t xml:space="preserve">. To satisfy this pleading requirement, a plaintiff must offer more than “labels and conclusions” or a “formulaic recitation of the elements of a cause of action.” </w:t>
      </w:r>
      <w:hyperlink r:id="rId18" w:anchor="co_pp_sp_780_555">
        <w:r>
          <w:rPr>
            <w:rFonts w:ascii="Times New Roman" w:hAnsi="Times New Roman"/>
            <w:i/>
            <w:color w:val="006FC4"/>
            <w:sz w:val="20"/>
          </w:rPr>
          <w:t>Id.</w:t>
        </w:r>
        <w:r>
          <w:rPr>
            <w:rFonts w:ascii="Times New Roman" w:hAnsi="Times New Roman"/>
            <w:color w:val="006FC4"/>
            <w:sz w:val="20"/>
          </w:rPr>
          <w:t xml:space="preserve"> at 555</w:t>
        </w:r>
      </w:hyperlink>
      <w:r>
        <w:rPr>
          <w:rFonts w:ascii="Times New Roman" w:hAnsi="Times New Roman"/>
          <w:color w:val="1F1F1F"/>
          <w:sz w:val="20"/>
        </w:rPr>
        <w:t xml:space="preserve">. The district court may disregard legal conclusions that are couched as factual allegations. </w:t>
      </w:r>
      <w:r>
        <w:rPr>
          <w:rFonts w:ascii="Times New Roman" w:hAnsi="Times New Roman"/>
          <w:i/>
          <w:color w:val="1F1F1F"/>
          <w:sz w:val="20"/>
        </w:rPr>
        <w:t>See</w:t>
      </w:r>
      <w:r>
        <w:rPr>
          <w:rFonts w:ascii="Times New Roman" w:hAnsi="Times New Roman"/>
          <w:color w:val="1F1F1F"/>
          <w:sz w:val="20"/>
        </w:rPr>
        <w:t xml:space="preserve"> </w:t>
      </w:r>
      <w:hyperlink r:id="rId19" w:anchor="co_pp_sp_780_678">
        <w:r>
          <w:rPr>
            <w:rFonts w:ascii="Times New Roman" w:hAnsi="Times New Roman"/>
            <w:i/>
            <w:color w:val="006FC4"/>
            <w:sz w:val="20"/>
          </w:rPr>
          <w:t>Iqbal</w:t>
        </w:r>
        <w:r>
          <w:rPr>
            <w:rFonts w:ascii="Times New Roman" w:hAnsi="Times New Roman"/>
            <w:color w:val="006FC4"/>
            <w:sz w:val="20"/>
          </w:rPr>
          <w:t>, 556 U.S. at 678–79</w:t>
        </w:r>
      </w:hyperlink>
      <w:r>
        <w:rPr>
          <w:rFonts w:ascii="Times New Roman" w:hAnsi="Times New Roman"/>
          <w:color w:val="1F1F1F"/>
          <w:sz w:val="20"/>
        </w:rPr>
        <w:t>.</w:t>
      </w:r>
    </w:p>
    <w:p w14:paraId="388B050D" w14:textId="77777777" w:rsidR="000E3C3D" w:rsidRDefault="00000000">
      <w:pPr>
        <w:spacing w:after="0" w:line="275" w:lineRule="atLeast"/>
        <w:jc w:val="both"/>
      </w:pPr>
      <w:r>
        <w:rPr>
          <w:rFonts w:ascii="Times New Roman" w:hAnsi="Times New Roman"/>
          <w:color w:val="1F1F1F"/>
          <w:sz w:val="20"/>
        </w:rPr>
        <w:t> </w:t>
      </w:r>
    </w:p>
    <w:p w14:paraId="484D958B" w14:textId="77777777" w:rsidR="000E3C3D" w:rsidRDefault="00000000">
      <w:pPr>
        <w:spacing w:before="400" w:after="0" w:line="275" w:lineRule="atLeast"/>
        <w:jc w:val="both"/>
      </w:pPr>
      <w:bookmarkStart w:id="14" w:name="co_anchor_If4d32fa1fb9311efb8b8b5e202"/>
      <w:bookmarkStart w:id="15" w:name="co_anchor_If4d32fa1fb9311efb8b8b5e2003d"/>
      <w:r>
        <w:rPr>
          <w:rFonts w:ascii="Times New Roman" w:hAnsi="Times New Roman"/>
          <w:b/>
          <w:color w:val="1F1F1F"/>
          <w:sz w:val="20"/>
        </w:rPr>
        <w:t>I. Deputies Aukes and Parks in Their Individual Capacity</w:t>
      </w:r>
    </w:p>
    <w:p w14:paraId="636EDCD2" w14:textId="77777777" w:rsidR="000E3C3D" w:rsidRDefault="00000000">
      <w:pPr>
        <w:spacing w:after="0" w:line="275" w:lineRule="atLeast"/>
        <w:jc w:val="both"/>
      </w:pPr>
      <w:bookmarkStart w:id="16" w:name="co_pp_sp_999_2_1"/>
      <w:bookmarkEnd w:id="14"/>
      <w:bookmarkEnd w:id="15"/>
      <w:r>
        <w:rPr>
          <w:rFonts w:ascii="Times New Roman" w:hAnsi="Times New Roman"/>
          <w:b/>
          <w:color w:val="000000"/>
          <w:sz w:val="20"/>
        </w:rPr>
        <w:t>*2</w:t>
      </w:r>
      <w:bookmarkEnd w:id="16"/>
      <w:r>
        <w:rPr>
          <w:rFonts w:ascii="Times New Roman" w:hAnsi="Times New Roman"/>
          <w:color w:val="1F1F1F"/>
          <w:sz w:val="20"/>
        </w:rPr>
        <w:t xml:space="preserve"> Defendants argue that Aukes and Parks are entitled to qualified immunity on Locke's </w:t>
      </w:r>
      <w:hyperlink r:id="rId20">
        <w:r>
          <w:rPr>
            <w:rFonts w:ascii="Times New Roman" w:hAnsi="Times New Roman"/>
            <w:color w:val="006FC4"/>
            <w:sz w:val="20"/>
          </w:rPr>
          <w:t>Section 1983</w:t>
        </w:r>
      </w:hyperlink>
      <w:r>
        <w:rPr>
          <w:rFonts w:ascii="Times New Roman" w:hAnsi="Times New Roman"/>
          <w:color w:val="1F1F1F"/>
          <w:sz w:val="20"/>
        </w:rPr>
        <w:t xml:space="preserve"> excessive force claim because Locke has not identified a clearly established right that was violated when Aukes and Parks responded to the protest. Locke disagrees.</w:t>
      </w:r>
    </w:p>
    <w:p w14:paraId="2F1A50A3" w14:textId="77777777" w:rsidR="000E3C3D" w:rsidRDefault="00000000">
      <w:pPr>
        <w:spacing w:after="0" w:line="275" w:lineRule="atLeast"/>
        <w:jc w:val="both"/>
      </w:pPr>
      <w:r>
        <w:rPr>
          <w:rFonts w:ascii="Times New Roman" w:hAnsi="Times New Roman"/>
          <w:color w:val="1F1F1F"/>
          <w:sz w:val="20"/>
        </w:rPr>
        <w:t> </w:t>
      </w:r>
    </w:p>
    <w:p w14:paraId="1F9449B8" w14:textId="77777777" w:rsidR="000E3C3D" w:rsidRDefault="00000000">
      <w:pPr>
        <w:spacing w:after="0" w:line="275" w:lineRule="atLeast"/>
        <w:jc w:val="both"/>
      </w:pPr>
      <w:r>
        <w:rPr>
          <w:rFonts w:ascii="Times New Roman" w:hAnsi="Times New Roman"/>
          <w:color w:val="1F1F1F"/>
          <w:sz w:val="20"/>
        </w:rPr>
        <w:t xml:space="preserve">To succeed on a motion to dismiss a </w:t>
      </w:r>
      <w:hyperlink r:id="rId21">
        <w:r>
          <w:rPr>
            <w:rFonts w:ascii="Times New Roman" w:hAnsi="Times New Roman"/>
            <w:color w:val="006FC4"/>
            <w:sz w:val="20"/>
          </w:rPr>
          <w:t>42 U.S.C § 1983</w:t>
        </w:r>
      </w:hyperlink>
      <w:r>
        <w:rPr>
          <w:rFonts w:ascii="Times New Roman" w:hAnsi="Times New Roman"/>
          <w:color w:val="1F1F1F"/>
          <w:sz w:val="20"/>
        </w:rPr>
        <w:t xml:space="preserve"> claim on the basis of qualified immunity, Defendants must show that they are “entitled to qualified immunity on the face of the complaint.” </w:t>
      </w:r>
      <w:hyperlink r:id="rId22" w:anchor="co_pp_sp_506_627">
        <w:r>
          <w:rPr>
            <w:rFonts w:ascii="Times New Roman" w:hAnsi="Times New Roman"/>
            <w:i/>
            <w:color w:val="006FC4"/>
            <w:sz w:val="20"/>
          </w:rPr>
          <w:t>Stanley v. Finnegan</w:t>
        </w:r>
        <w:r>
          <w:rPr>
            <w:rFonts w:ascii="Times New Roman" w:hAnsi="Times New Roman"/>
            <w:color w:val="006FC4"/>
            <w:sz w:val="20"/>
          </w:rPr>
          <w:t>, 899 F.3d 623, 627 (8th Cir. 2018)</w:t>
        </w:r>
      </w:hyperlink>
      <w:r>
        <w:rPr>
          <w:rFonts w:ascii="Times New Roman" w:hAnsi="Times New Roman"/>
          <w:color w:val="1F1F1F"/>
          <w:sz w:val="20"/>
        </w:rPr>
        <w:t xml:space="preserve"> (internal quotation marks omitted). In other words, Defendants are entitled to qualified immunity unless the facts, when viewed in the light most favorable to Locke, demonstrate that Locke was deprived of a constitutional or statutory right that was clearly established at the time of the deprivation. </w:t>
      </w:r>
      <w:hyperlink r:id="rId23" w:anchor="co_pp_sp_8173_1004">
        <w:r>
          <w:rPr>
            <w:rFonts w:ascii="Times New Roman" w:hAnsi="Times New Roman"/>
            <w:i/>
            <w:color w:val="006FC4"/>
            <w:sz w:val="20"/>
          </w:rPr>
          <w:t>Ryno v. City of Waynesville</w:t>
        </w:r>
        <w:r>
          <w:rPr>
            <w:rFonts w:ascii="Times New Roman" w:hAnsi="Times New Roman"/>
            <w:color w:val="006FC4"/>
            <w:sz w:val="20"/>
          </w:rPr>
          <w:t>, 58 F.4th 995, 1004 (8th Cir. 2023)</w:t>
        </w:r>
      </w:hyperlink>
      <w:r>
        <w:rPr>
          <w:rFonts w:ascii="Times New Roman" w:hAnsi="Times New Roman"/>
          <w:color w:val="1F1F1F"/>
          <w:sz w:val="20"/>
        </w:rPr>
        <w:t xml:space="preserve"> (citation omitted). In conducting its legal analysis, the district court may address the elements of the qualified immunity inquiry in any order. </w:t>
      </w:r>
      <w:hyperlink r:id="rId24" w:anchor="co_pp_sp_780_236">
        <w:r>
          <w:rPr>
            <w:rFonts w:ascii="Times New Roman" w:hAnsi="Times New Roman"/>
            <w:i/>
            <w:color w:val="006FC4"/>
            <w:sz w:val="20"/>
          </w:rPr>
          <w:t>Pearson v. Callahan</w:t>
        </w:r>
        <w:r>
          <w:rPr>
            <w:rFonts w:ascii="Times New Roman" w:hAnsi="Times New Roman"/>
            <w:color w:val="006FC4"/>
            <w:sz w:val="20"/>
          </w:rPr>
          <w:t>, 555 U.S. 223, 236 (2009)</w:t>
        </w:r>
      </w:hyperlink>
      <w:r>
        <w:rPr>
          <w:rFonts w:ascii="Times New Roman" w:hAnsi="Times New Roman"/>
          <w:color w:val="1F1F1F"/>
          <w:sz w:val="20"/>
        </w:rPr>
        <w:t xml:space="preserve">. This Court considers whether a right was clearly established at the time of </w:t>
      </w:r>
      <w:proofErr w:type="gramStart"/>
      <w:r>
        <w:rPr>
          <w:rFonts w:ascii="Times New Roman" w:hAnsi="Times New Roman"/>
          <w:color w:val="1F1F1F"/>
          <w:sz w:val="20"/>
        </w:rPr>
        <w:t>the deprivation</w:t>
      </w:r>
      <w:proofErr w:type="gramEnd"/>
      <w:r>
        <w:rPr>
          <w:rFonts w:ascii="Times New Roman" w:hAnsi="Times New Roman"/>
          <w:color w:val="1F1F1F"/>
          <w:sz w:val="20"/>
        </w:rPr>
        <w:t>.</w:t>
      </w:r>
    </w:p>
    <w:p w14:paraId="16DCDCC8" w14:textId="77777777" w:rsidR="000E3C3D" w:rsidRDefault="00000000">
      <w:pPr>
        <w:spacing w:after="0" w:line="275" w:lineRule="atLeast"/>
        <w:jc w:val="both"/>
      </w:pPr>
      <w:r>
        <w:rPr>
          <w:rFonts w:ascii="Times New Roman" w:hAnsi="Times New Roman"/>
          <w:color w:val="1F1F1F"/>
          <w:sz w:val="20"/>
        </w:rPr>
        <w:t> </w:t>
      </w:r>
    </w:p>
    <w:p w14:paraId="320E9C54" w14:textId="77777777" w:rsidR="000E3C3D" w:rsidRDefault="00000000">
      <w:pPr>
        <w:spacing w:after="0" w:line="275" w:lineRule="atLeast"/>
        <w:jc w:val="both"/>
      </w:pPr>
      <w:r>
        <w:rPr>
          <w:rFonts w:ascii="Times New Roman" w:hAnsi="Times New Roman"/>
          <w:color w:val="1F1F1F"/>
          <w:sz w:val="20"/>
        </w:rPr>
        <w:t xml:space="preserve">Qualified immunity “protects all but the plainly incompetent or those who knowingly violate the law.” </w:t>
      </w:r>
      <w:hyperlink r:id="rId25" w:anchor="co_pp_sp_780_546">
        <w:r>
          <w:rPr>
            <w:rFonts w:ascii="Times New Roman" w:hAnsi="Times New Roman"/>
            <w:i/>
            <w:color w:val="006FC4"/>
            <w:sz w:val="20"/>
          </w:rPr>
          <w:t>Messerschmidt v. Millender</w:t>
        </w:r>
        <w:r>
          <w:rPr>
            <w:rFonts w:ascii="Times New Roman" w:hAnsi="Times New Roman"/>
            <w:color w:val="006FC4"/>
            <w:sz w:val="20"/>
          </w:rPr>
          <w:t>, 565 U.S. 535, 546 (2012)</w:t>
        </w:r>
      </w:hyperlink>
      <w:r>
        <w:rPr>
          <w:rFonts w:ascii="Times New Roman" w:hAnsi="Times New Roman"/>
          <w:color w:val="1F1F1F"/>
          <w:sz w:val="20"/>
        </w:rPr>
        <w:t xml:space="preserve"> (internal quotation marks omitted). A “clearly established” right does not require the existence of a case involving fundamentally similar facts. </w:t>
      </w:r>
      <w:hyperlink r:id="rId26" w:anchor="co_pp_sp_780_741">
        <w:r>
          <w:rPr>
            <w:rFonts w:ascii="Times New Roman" w:hAnsi="Times New Roman"/>
            <w:i/>
            <w:color w:val="006FC4"/>
            <w:sz w:val="20"/>
          </w:rPr>
          <w:t>Hope v. Pelzer</w:t>
        </w:r>
        <w:r>
          <w:rPr>
            <w:rFonts w:ascii="Times New Roman" w:hAnsi="Times New Roman"/>
            <w:color w:val="006FC4"/>
            <w:sz w:val="20"/>
          </w:rPr>
          <w:t>, 536 U.S. 730, 741 (2002)</w:t>
        </w:r>
      </w:hyperlink>
      <w:r>
        <w:rPr>
          <w:rFonts w:ascii="Times New Roman" w:hAnsi="Times New Roman"/>
          <w:color w:val="1F1F1F"/>
          <w:sz w:val="20"/>
        </w:rPr>
        <w:t xml:space="preserve">. Rather, the court must determine whether the state actor had fair warning that their conduct violated a constitutional right. </w:t>
      </w:r>
      <w:r>
        <w:rPr>
          <w:rFonts w:ascii="Times New Roman" w:hAnsi="Times New Roman"/>
          <w:i/>
          <w:color w:val="1F1F1F"/>
          <w:sz w:val="20"/>
        </w:rPr>
        <w:t>Id.</w:t>
      </w:r>
      <w:r>
        <w:rPr>
          <w:rFonts w:ascii="Times New Roman" w:hAnsi="Times New Roman"/>
          <w:color w:val="1F1F1F"/>
          <w:sz w:val="20"/>
        </w:rPr>
        <w:t xml:space="preserve"> This inquiry turns on the “objective legal reasonableness of the action, assessed in light of the legal rules that were clearly established at the time it was taken.” </w:t>
      </w:r>
      <w:hyperlink r:id="rId27" w:anchor="co_pp_sp_780_244">
        <w:r>
          <w:rPr>
            <w:rFonts w:ascii="Times New Roman" w:hAnsi="Times New Roman"/>
            <w:i/>
            <w:color w:val="006FC4"/>
            <w:sz w:val="20"/>
          </w:rPr>
          <w:t>Pearson</w:t>
        </w:r>
        <w:r>
          <w:rPr>
            <w:rFonts w:ascii="Times New Roman" w:hAnsi="Times New Roman"/>
            <w:color w:val="006FC4"/>
            <w:sz w:val="20"/>
          </w:rPr>
          <w:t>, 555 U.S. at 244</w:t>
        </w:r>
      </w:hyperlink>
      <w:r>
        <w:rPr>
          <w:rFonts w:ascii="Times New Roman" w:hAnsi="Times New Roman"/>
          <w:color w:val="1F1F1F"/>
          <w:sz w:val="20"/>
        </w:rPr>
        <w:t xml:space="preserve"> (quoting </w:t>
      </w:r>
      <w:hyperlink r:id="rId28" w:anchor="co_pp_sp_780_614">
        <w:r>
          <w:rPr>
            <w:rFonts w:ascii="Times New Roman" w:hAnsi="Times New Roman"/>
            <w:i/>
            <w:color w:val="006FC4"/>
            <w:sz w:val="20"/>
          </w:rPr>
          <w:t>Wilson v. Layne</w:t>
        </w:r>
        <w:r>
          <w:rPr>
            <w:rFonts w:ascii="Times New Roman" w:hAnsi="Times New Roman"/>
            <w:color w:val="006FC4"/>
            <w:sz w:val="20"/>
          </w:rPr>
          <w:t>, 526 U.S. 603, 614 (1999)</w:t>
        </w:r>
      </w:hyperlink>
      <w:r>
        <w:rPr>
          <w:rFonts w:ascii="Times New Roman" w:hAnsi="Times New Roman"/>
          <w:color w:val="1F1F1F"/>
          <w:sz w:val="20"/>
        </w:rPr>
        <w:t xml:space="preserve"> (internal quotation marks omitted). The Supreme Court of the United States has cautioned against defining a “clearly established right” with an excessive degree of generality. </w:t>
      </w:r>
      <w:hyperlink r:id="rId29" w:anchor="co_pp_sp_780_778">
        <w:r>
          <w:rPr>
            <w:rFonts w:ascii="Times New Roman" w:hAnsi="Times New Roman"/>
            <w:i/>
            <w:color w:val="006FC4"/>
            <w:sz w:val="20"/>
          </w:rPr>
          <w:t>Plumhoff v. Rickard</w:t>
        </w:r>
        <w:r>
          <w:rPr>
            <w:rFonts w:ascii="Times New Roman" w:hAnsi="Times New Roman"/>
            <w:color w:val="006FC4"/>
            <w:sz w:val="20"/>
          </w:rPr>
          <w:t>, 572 U.S. 765, 778-79 (2014)</w:t>
        </w:r>
      </w:hyperlink>
      <w:r>
        <w:rPr>
          <w:rFonts w:ascii="Times New Roman" w:hAnsi="Times New Roman"/>
          <w:color w:val="1F1F1F"/>
          <w:sz w:val="20"/>
        </w:rPr>
        <w:t xml:space="preserve">. Instead, “clearly established law must be particularized to the facts of the case.” </w:t>
      </w:r>
      <w:hyperlink r:id="rId30" w:anchor="co_pp_sp_780_79">
        <w:r>
          <w:rPr>
            <w:rFonts w:ascii="Times New Roman" w:hAnsi="Times New Roman"/>
            <w:i/>
            <w:color w:val="006FC4"/>
            <w:sz w:val="20"/>
          </w:rPr>
          <w:t>White v. Pauly</w:t>
        </w:r>
        <w:r>
          <w:rPr>
            <w:rFonts w:ascii="Times New Roman" w:hAnsi="Times New Roman"/>
            <w:color w:val="006FC4"/>
            <w:sz w:val="20"/>
          </w:rPr>
          <w:t>, 580 U.S. 73, 79 (2017)</w:t>
        </w:r>
      </w:hyperlink>
      <w:r>
        <w:rPr>
          <w:rFonts w:ascii="Times New Roman" w:hAnsi="Times New Roman"/>
          <w:color w:val="1F1F1F"/>
          <w:sz w:val="20"/>
        </w:rPr>
        <w:t xml:space="preserve"> (internal quotation marks omitted).</w:t>
      </w:r>
    </w:p>
    <w:p w14:paraId="75901AC7" w14:textId="77777777" w:rsidR="000E3C3D" w:rsidRDefault="00000000">
      <w:pPr>
        <w:spacing w:after="0" w:line="275" w:lineRule="atLeast"/>
        <w:jc w:val="both"/>
      </w:pPr>
      <w:r>
        <w:rPr>
          <w:rFonts w:ascii="Times New Roman" w:hAnsi="Times New Roman"/>
          <w:color w:val="1F1F1F"/>
          <w:sz w:val="20"/>
        </w:rPr>
        <w:t> </w:t>
      </w:r>
    </w:p>
    <w:p w14:paraId="34604373" w14:textId="77777777" w:rsidR="000E3C3D" w:rsidRDefault="00000000">
      <w:pPr>
        <w:spacing w:after="0" w:line="275" w:lineRule="atLeast"/>
        <w:jc w:val="both"/>
      </w:pPr>
      <w:r>
        <w:rPr>
          <w:rFonts w:ascii="Times New Roman" w:hAnsi="Times New Roman"/>
          <w:color w:val="1F1F1F"/>
          <w:sz w:val="20"/>
        </w:rPr>
        <w:t xml:space="preserve">To prove that the law was clearly established when Aukes and Parks allegedly violated Locke's Fourth Amendment and Fourteenth Amendment rights, Locke must identify Eighth Circuit precedent “that involves sufficiently similar facts to squarely govern the individual defendants’ conduct in the specific circumstances at issue” or, if such precedent does not exist, “present a robust consensus of persuasive authority constituting settled law.” </w:t>
      </w:r>
      <w:hyperlink r:id="rId31" w:anchor="co_pp_sp_506_980">
        <w:r>
          <w:rPr>
            <w:rFonts w:ascii="Times New Roman" w:hAnsi="Times New Roman"/>
            <w:i/>
            <w:color w:val="006FC4"/>
            <w:sz w:val="20"/>
          </w:rPr>
          <w:t>Bus. Leaders in Christ v. Univ. of Iowa</w:t>
        </w:r>
        <w:r>
          <w:rPr>
            <w:rFonts w:ascii="Times New Roman" w:hAnsi="Times New Roman"/>
            <w:color w:val="006FC4"/>
            <w:sz w:val="20"/>
          </w:rPr>
          <w:t>, 991 F.3d 969, 980 (8th Cir. 2021)</w:t>
        </w:r>
      </w:hyperlink>
      <w:r>
        <w:rPr>
          <w:rFonts w:ascii="Times New Roman" w:hAnsi="Times New Roman"/>
          <w:color w:val="1F1F1F"/>
          <w:sz w:val="20"/>
        </w:rPr>
        <w:t xml:space="preserve">; </w:t>
      </w:r>
      <w:r>
        <w:rPr>
          <w:rFonts w:ascii="Times New Roman" w:hAnsi="Times New Roman"/>
          <w:i/>
          <w:color w:val="1F1F1F"/>
          <w:sz w:val="20"/>
        </w:rPr>
        <w:t>see also Berry v. Hennepin Cnty.</w:t>
      </w:r>
      <w:r>
        <w:rPr>
          <w:rFonts w:ascii="Times New Roman" w:hAnsi="Times New Roman"/>
          <w:color w:val="1F1F1F"/>
          <w:sz w:val="20"/>
        </w:rPr>
        <w:t xml:space="preserve">, 20-cv-2189 (WMW/JFD), </w:t>
      </w:r>
      <w:hyperlink r:id="rId32" w:anchor="co_pp_sp_999_4">
        <w:r>
          <w:rPr>
            <w:rFonts w:ascii="Times New Roman" w:hAnsi="Times New Roman"/>
            <w:color w:val="006FC4"/>
            <w:sz w:val="20"/>
          </w:rPr>
          <w:t>2022 WL 3579747, at *4 (D. Minn. Aug. 19, 2022)</w:t>
        </w:r>
      </w:hyperlink>
      <w:r>
        <w:rPr>
          <w:rFonts w:ascii="Times New Roman" w:hAnsi="Times New Roman"/>
          <w:color w:val="1F1F1F"/>
          <w:sz w:val="20"/>
        </w:rPr>
        <w:t>.</w:t>
      </w:r>
    </w:p>
    <w:p w14:paraId="6C084FB1" w14:textId="77777777" w:rsidR="000E3C3D" w:rsidRDefault="00000000">
      <w:pPr>
        <w:spacing w:after="0" w:line="275" w:lineRule="atLeast"/>
        <w:jc w:val="both"/>
      </w:pPr>
      <w:r>
        <w:rPr>
          <w:rFonts w:ascii="Times New Roman" w:hAnsi="Times New Roman"/>
          <w:color w:val="1F1F1F"/>
          <w:sz w:val="20"/>
        </w:rPr>
        <w:lastRenderedPageBreak/>
        <w:t> </w:t>
      </w:r>
    </w:p>
    <w:p w14:paraId="15E62CFE" w14:textId="77777777" w:rsidR="000E3C3D" w:rsidRDefault="00000000">
      <w:pPr>
        <w:spacing w:after="0" w:line="275" w:lineRule="atLeast"/>
        <w:jc w:val="both"/>
      </w:pPr>
      <w:r>
        <w:rPr>
          <w:rFonts w:ascii="Times New Roman" w:hAnsi="Times New Roman"/>
          <w:color w:val="1F1F1F"/>
          <w:sz w:val="20"/>
        </w:rPr>
        <w:t xml:space="preserve">Locke does not identify any binding authority on this issue. Instead, Locke points to </w:t>
      </w:r>
      <w:r>
        <w:rPr>
          <w:rFonts w:ascii="Times New Roman" w:hAnsi="Times New Roman"/>
          <w:i/>
          <w:color w:val="1F1F1F"/>
          <w:sz w:val="20"/>
        </w:rPr>
        <w:t>Headwaters Forest Defense v. County of Humboldt</w:t>
      </w:r>
      <w:r>
        <w:rPr>
          <w:rFonts w:ascii="Times New Roman" w:hAnsi="Times New Roman"/>
          <w:color w:val="1F1F1F"/>
          <w:sz w:val="20"/>
        </w:rPr>
        <w:t>, in which nonviolent protestors locked themselves into a black bear device.</w:t>
      </w:r>
      <w:bookmarkStart w:id="17" w:name="co_fnRef_B00022078396060_ID0E5BAE_1"/>
      <w:r>
        <w:fldChar w:fldCharType="begin"/>
      </w:r>
      <w:r>
        <w:instrText>HYPERLINK \l "co_footnote_B00022078396060_1" \h</w:instrText>
      </w:r>
      <w:r>
        <w:fldChar w:fldCharType="separate"/>
      </w:r>
      <w:r>
        <w:rPr>
          <w:rFonts w:ascii="Times New Roman" w:hAnsi="Times New Roman"/>
          <w:color w:val="006FC4"/>
          <w:sz w:val="16"/>
          <w:vertAlign w:val="superscript"/>
        </w:rPr>
        <w:t>2</w:t>
      </w:r>
      <w:r>
        <w:fldChar w:fldCharType="end"/>
      </w:r>
      <w:bookmarkEnd w:id="17"/>
      <w:r>
        <w:rPr>
          <w:rFonts w:ascii="Times New Roman" w:hAnsi="Times New Roman"/>
          <w:color w:val="1F1F1F"/>
          <w:sz w:val="20"/>
        </w:rPr>
        <w:t xml:space="preserve"> </w:t>
      </w:r>
      <w:hyperlink r:id="rId33" w:anchor="co_pp_sp_506_1128">
        <w:r>
          <w:rPr>
            <w:rFonts w:ascii="Times New Roman" w:hAnsi="Times New Roman"/>
            <w:color w:val="006FC4"/>
            <w:sz w:val="20"/>
          </w:rPr>
          <w:t>276 F.3d 1125, 1128 (9th Cir. 2002)</w:t>
        </w:r>
      </w:hyperlink>
      <w:r>
        <w:rPr>
          <w:rFonts w:ascii="Times New Roman" w:hAnsi="Times New Roman"/>
          <w:color w:val="1F1F1F"/>
          <w:sz w:val="20"/>
        </w:rPr>
        <w:t xml:space="preserve">. While the protestors were locked to the black bear devices, the officers sprayed the protestors. </w:t>
      </w:r>
      <w:r>
        <w:rPr>
          <w:rFonts w:ascii="Times New Roman" w:hAnsi="Times New Roman"/>
          <w:i/>
          <w:color w:val="1F1F1F"/>
          <w:sz w:val="20"/>
        </w:rPr>
        <w:t>Id.</w:t>
      </w:r>
      <w:r>
        <w:rPr>
          <w:rFonts w:ascii="Times New Roman" w:hAnsi="Times New Roman"/>
          <w:color w:val="1F1F1F"/>
          <w:sz w:val="20"/>
        </w:rPr>
        <w:t xml:space="preserve"> And in effort to force the protestors to release themselves from the devices, the officers denied the protestors water to cleanse their eyes. </w:t>
      </w:r>
      <w:r>
        <w:rPr>
          <w:rFonts w:ascii="Times New Roman" w:hAnsi="Times New Roman"/>
          <w:i/>
          <w:color w:val="1F1F1F"/>
          <w:sz w:val="20"/>
        </w:rPr>
        <w:t>Id.</w:t>
      </w:r>
      <w:r>
        <w:rPr>
          <w:rFonts w:ascii="Times New Roman" w:hAnsi="Times New Roman"/>
          <w:color w:val="1F1F1F"/>
          <w:sz w:val="20"/>
        </w:rPr>
        <w:t xml:space="preserve"> After the protestors refused to comply, the officers forced the protestors’ heads back and applied pepper spray with a Q-tip to the corners of the protestors’ closed eyes. </w:t>
      </w:r>
      <w:r>
        <w:rPr>
          <w:rFonts w:ascii="Times New Roman" w:hAnsi="Times New Roman"/>
          <w:i/>
          <w:color w:val="1F1F1F"/>
          <w:sz w:val="20"/>
        </w:rPr>
        <w:t>Id.</w:t>
      </w:r>
      <w:r>
        <w:rPr>
          <w:rFonts w:ascii="Times New Roman" w:hAnsi="Times New Roman"/>
          <w:color w:val="1F1F1F"/>
          <w:sz w:val="20"/>
        </w:rPr>
        <w:t xml:space="preserve"> The United States Court of Appeals for the Ninth Circuit concluded that the defendants in </w:t>
      </w:r>
      <w:r>
        <w:rPr>
          <w:rFonts w:ascii="Times New Roman" w:hAnsi="Times New Roman"/>
          <w:i/>
          <w:color w:val="1F1F1F"/>
          <w:sz w:val="20"/>
        </w:rPr>
        <w:t>Headwaters Forest Defense</w:t>
      </w:r>
      <w:r>
        <w:rPr>
          <w:rFonts w:ascii="Times New Roman" w:hAnsi="Times New Roman"/>
          <w:color w:val="1F1F1F"/>
          <w:sz w:val="20"/>
        </w:rPr>
        <w:t xml:space="preserve"> were “not entitled to qualified immunity because the use of pepper spray on the protestors’ eyes and faces was plainly in excess of the force necessary under the circumstances, and no reasonable officer could have concluded otherwise.” </w:t>
      </w:r>
      <w:hyperlink r:id="rId34" w:anchor="co_pp_sp_506_1131">
        <w:r>
          <w:rPr>
            <w:rFonts w:ascii="Times New Roman" w:hAnsi="Times New Roman"/>
            <w:i/>
            <w:color w:val="006FC4"/>
            <w:sz w:val="20"/>
          </w:rPr>
          <w:t>Id.</w:t>
        </w:r>
        <w:r>
          <w:rPr>
            <w:rFonts w:ascii="Times New Roman" w:hAnsi="Times New Roman"/>
            <w:color w:val="006FC4"/>
            <w:sz w:val="20"/>
          </w:rPr>
          <w:t xml:space="preserve"> at 1131</w:t>
        </w:r>
      </w:hyperlink>
      <w:r>
        <w:rPr>
          <w:rFonts w:ascii="Times New Roman" w:hAnsi="Times New Roman"/>
          <w:color w:val="1F1F1F"/>
          <w:sz w:val="20"/>
        </w:rPr>
        <w:t>.</w:t>
      </w:r>
    </w:p>
    <w:p w14:paraId="3A58D122" w14:textId="77777777" w:rsidR="000E3C3D" w:rsidRDefault="00000000">
      <w:pPr>
        <w:spacing w:after="0" w:line="275" w:lineRule="atLeast"/>
        <w:jc w:val="both"/>
      </w:pPr>
      <w:r>
        <w:rPr>
          <w:rFonts w:ascii="Times New Roman" w:hAnsi="Times New Roman"/>
          <w:color w:val="1F1F1F"/>
          <w:sz w:val="20"/>
        </w:rPr>
        <w:t> </w:t>
      </w:r>
    </w:p>
    <w:p w14:paraId="7C5BDC6A" w14:textId="77777777" w:rsidR="000E3C3D" w:rsidRDefault="00000000">
      <w:pPr>
        <w:spacing w:after="0" w:line="275" w:lineRule="atLeast"/>
        <w:jc w:val="both"/>
      </w:pPr>
      <w:bookmarkStart w:id="18" w:name="co_pp_sp_999_3_1"/>
      <w:r>
        <w:rPr>
          <w:rFonts w:ascii="Times New Roman" w:hAnsi="Times New Roman"/>
          <w:b/>
          <w:color w:val="000000"/>
          <w:sz w:val="20"/>
        </w:rPr>
        <w:t>*3</w:t>
      </w:r>
      <w:bookmarkEnd w:id="18"/>
      <w:r>
        <w:rPr>
          <w:rFonts w:ascii="Times New Roman" w:hAnsi="Times New Roman"/>
          <w:color w:val="1F1F1F"/>
          <w:sz w:val="20"/>
        </w:rPr>
        <w:t xml:space="preserve"> The officers’ use of force in </w:t>
      </w:r>
      <w:r>
        <w:rPr>
          <w:rFonts w:ascii="Times New Roman" w:hAnsi="Times New Roman"/>
          <w:i/>
          <w:color w:val="1F1F1F"/>
          <w:sz w:val="20"/>
        </w:rPr>
        <w:t>Headwaters Forest Defense</w:t>
      </w:r>
      <w:r>
        <w:rPr>
          <w:rFonts w:ascii="Times New Roman" w:hAnsi="Times New Roman"/>
          <w:color w:val="1F1F1F"/>
          <w:sz w:val="20"/>
        </w:rPr>
        <w:t>, however, is distinguishable from the pain compliance techniques used in this case. “[Q]</w:t>
      </w:r>
      <w:proofErr w:type="spellStart"/>
      <w:r>
        <w:rPr>
          <w:rFonts w:ascii="Times New Roman" w:hAnsi="Times New Roman"/>
          <w:color w:val="1F1F1F"/>
          <w:sz w:val="20"/>
        </w:rPr>
        <w:t>ualified</w:t>
      </w:r>
      <w:proofErr w:type="spellEnd"/>
      <w:r>
        <w:rPr>
          <w:rFonts w:ascii="Times New Roman" w:hAnsi="Times New Roman"/>
          <w:color w:val="1F1F1F"/>
          <w:sz w:val="20"/>
        </w:rPr>
        <w:t xml:space="preserve"> immunity operates ‘to ensure that before they are subject to suit, officers are on notice their conduct is unlawful.’ ” </w:t>
      </w:r>
      <w:hyperlink r:id="rId35" w:anchor="co_pp_sp_780_739">
        <w:r>
          <w:rPr>
            <w:rFonts w:ascii="Times New Roman" w:hAnsi="Times New Roman"/>
            <w:i/>
            <w:color w:val="006FC4"/>
            <w:sz w:val="20"/>
          </w:rPr>
          <w:t>Hope</w:t>
        </w:r>
        <w:r>
          <w:rPr>
            <w:rFonts w:ascii="Times New Roman" w:hAnsi="Times New Roman"/>
            <w:color w:val="006FC4"/>
            <w:sz w:val="20"/>
          </w:rPr>
          <w:t>, 536 U.S. at 739</w:t>
        </w:r>
      </w:hyperlink>
      <w:r>
        <w:rPr>
          <w:rFonts w:ascii="Times New Roman" w:hAnsi="Times New Roman"/>
          <w:color w:val="1F1F1F"/>
          <w:sz w:val="20"/>
        </w:rPr>
        <w:t xml:space="preserve"> (quoting </w:t>
      </w:r>
      <w:hyperlink r:id="rId36" w:anchor="co_pp_sp_780_206">
        <w:r>
          <w:rPr>
            <w:rFonts w:ascii="Times New Roman" w:hAnsi="Times New Roman"/>
            <w:i/>
            <w:color w:val="006FC4"/>
            <w:sz w:val="20"/>
          </w:rPr>
          <w:t>Saucier v. Katz</w:t>
        </w:r>
        <w:r>
          <w:rPr>
            <w:rFonts w:ascii="Times New Roman" w:hAnsi="Times New Roman"/>
            <w:color w:val="006FC4"/>
            <w:sz w:val="20"/>
          </w:rPr>
          <w:t>, 533 U.S. 194, 206 (2001)</w:t>
        </w:r>
      </w:hyperlink>
      <w:r>
        <w:rPr>
          <w:rFonts w:ascii="Times New Roman" w:hAnsi="Times New Roman"/>
          <w:color w:val="1F1F1F"/>
          <w:sz w:val="20"/>
        </w:rPr>
        <w:t xml:space="preserve">. Locke has not provided any case law, nor has the Court's research revealed any </w:t>
      </w:r>
      <w:proofErr w:type="gramStart"/>
      <w:r>
        <w:rPr>
          <w:rFonts w:ascii="Times New Roman" w:hAnsi="Times New Roman"/>
          <w:color w:val="1F1F1F"/>
          <w:sz w:val="20"/>
        </w:rPr>
        <w:t>law,</w:t>
      </w:r>
      <w:proofErr w:type="gramEnd"/>
      <w:r>
        <w:rPr>
          <w:rFonts w:ascii="Times New Roman" w:hAnsi="Times New Roman"/>
          <w:color w:val="1F1F1F"/>
          <w:sz w:val="20"/>
        </w:rPr>
        <w:t xml:space="preserve"> that forbids the use of pain compliance techniques. As such, Aukes and Parks were not on notice that their conduct was or would be clearly unlawful.</w:t>
      </w:r>
    </w:p>
    <w:p w14:paraId="6B23D141" w14:textId="77777777" w:rsidR="000E3C3D" w:rsidRDefault="00000000">
      <w:pPr>
        <w:spacing w:after="0" w:line="275" w:lineRule="atLeast"/>
        <w:jc w:val="both"/>
      </w:pPr>
      <w:r>
        <w:rPr>
          <w:rFonts w:ascii="Times New Roman" w:hAnsi="Times New Roman"/>
          <w:color w:val="1F1F1F"/>
          <w:sz w:val="20"/>
        </w:rPr>
        <w:t> </w:t>
      </w:r>
    </w:p>
    <w:p w14:paraId="581FA977" w14:textId="77777777" w:rsidR="000E3C3D" w:rsidRDefault="00000000">
      <w:pPr>
        <w:spacing w:after="0" w:line="275" w:lineRule="atLeast"/>
        <w:jc w:val="both"/>
      </w:pPr>
      <w:r>
        <w:rPr>
          <w:rFonts w:ascii="Times New Roman" w:hAnsi="Times New Roman"/>
          <w:color w:val="1F1F1F"/>
          <w:sz w:val="20"/>
        </w:rPr>
        <w:t xml:space="preserve">There is no requirement that the action in question be previously held unlawful. </w:t>
      </w:r>
      <w:hyperlink r:id="rId37" w:anchor="co_pp_sp_506_1129">
        <w:r>
          <w:rPr>
            <w:rFonts w:ascii="Times New Roman" w:hAnsi="Times New Roman"/>
            <w:i/>
            <w:color w:val="006FC4"/>
            <w:sz w:val="20"/>
          </w:rPr>
          <w:t>Vaugn v. Ruoff</w:t>
        </w:r>
        <w:r>
          <w:rPr>
            <w:rFonts w:ascii="Times New Roman" w:hAnsi="Times New Roman"/>
            <w:color w:val="006FC4"/>
            <w:sz w:val="20"/>
          </w:rPr>
          <w:t>, 253 F.3d 1124, 1129 (8th Cir. 2001)</w:t>
        </w:r>
      </w:hyperlink>
      <w:r>
        <w:rPr>
          <w:rFonts w:ascii="Times New Roman" w:hAnsi="Times New Roman"/>
          <w:color w:val="1F1F1F"/>
          <w:sz w:val="20"/>
        </w:rPr>
        <w:t xml:space="preserve">. Locke, however, fails to allege facts to show that the conduct at issue in this case would have been “clear to a reasonable officer that [the officer's] conduct was unlawful in the situation [that the officer] confronted.” </w:t>
      </w:r>
      <w:hyperlink r:id="rId38" w:anchor="co_pp_sp_506_1212">
        <w:r>
          <w:rPr>
            <w:rFonts w:ascii="Times New Roman" w:hAnsi="Times New Roman"/>
            <w:i/>
            <w:color w:val="006FC4"/>
            <w:sz w:val="20"/>
          </w:rPr>
          <w:t>Atkinson v. City of Mountain View, Mo.</w:t>
        </w:r>
        <w:r>
          <w:rPr>
            <w:rFonts w:ascii="Times New Roman" w:hAnsi="Times New Roman"/>
            <w:color w:val="006FC4"/>
            <w:sz w:val="20"/>
          </w:rPr>
          <w:t>, 709 F.3d 1201, 1212 (8th Cir. 2013)</w:t>
        </w:r>
      </w:hyperlink>
      <w:r>
        <w:rPr>
          <w:rFonts w:ascii="Times New Roman" w:hAnsi="Times New Roman"/>
          <w:color w:val="1F1F1F"/>
          <w:sz w:val="20"/>
        </w:rPr>
        <w:t xml:space="preserve">; </w:t>
      </w:r>
      <w:r>
        <w:rPr>
          <w:rFonts w:ascii="Times New Roman" w:hAnsi="Times New Roman"/>
          <w:i/>
          <w:color w:val="1F1F1F"/>
          <w:sz w:val="20"/>
        </w:rPr>
        <w:t>see also</w:t>
      </w:r>
      <w:r>
        <w:rPr>
          <w:rFonts w:ascii="Times New Roman" w:hAnsi="Times New Roman"/>
          <w:color w:val="1F1F1F"/>
          <w:sz w:val="20"/>
        </w:rPr>
        <w:t xml:space="preserve"> </w:t>
      </w:r>
      <w:hyperlink r:id="rId39" w:anchor="co_pp_sp_506_809">
        <w:r>
          <w:rPr>
            <w:rFonts w:ascii="Times New Roman" w:hAnsi="Times New Roman"/>
            <w:i/>
            <w:color w:val="006FC4"/>
            <w:sz w:val="20"/>
          </w:rPr>
          <w:t>Forrester v. City of San Diego</w:t>
        </w:r>
        <w:r>
          <w:rPr>
            <w:rFonts w:ascii="Times New Roman" w:hAnsi="Times New Roman"/>
            <w:color w:val="006FC4"/>
            <w:sz w:val="20"/>
          </w:rPr>
          <w:t>, 25 F.3d 804, 809 (9th Cir. 1994)</w:t>
        </w:r>
      </w:hyperlink>
      <w:r>
        <w:rPr>
          <w:rFonts w:ascii="Times New Roman" w:hAnsi="Times New Roman"/>
          <w:color w:val="1F1F1F"/>
          <w:sz w:val="20"/>
        </w:rPr>
        <w:t xml:space="preserve"> (affirming jury determination that the officer's use of pain compliance techniques to remove nonviolent protestors in front of an abortion clinic was reasonable). To the extent that Locke argues that the deputies’ force was excessive force because of the resulting injury, this argument is unavailing. A court analyzes whether </w:t>
      </w:r>
      <w:r>
        <w:rPr>
          <w:rFonts w:ascii="Times New Roman" w:hAnsi="Times New Roman"/>
          <w:i/>
          <w:color w:val="1F1F1F"/>
          <w:sz w:val="20"/>
        </w:rPr>
        <w:t>the force applied</w:t>
      </w:r>
      <w:r>
        <w:rPr>
          <w:rFonts w:ascii="Times New Roman" w:hAnsi="Times New Roman"/>
          <w:color w:val="1F1F1F"/>
          <w:sz w:val="20"/>
        </w:rPr>
        <w:t xml:space="preserve"> was reasonable from the perspective of a reasonable officer on the scene at the time the force was used, the analysis is not based solely on the resulting injury. </w:t>
      </w:r>
      <w:hyperlink r:id="rId40" w:anchor="co_pp_sp_506_906">
        <w:r>
          <w:rPr>
            <w:rFonts w:ascii="Times New Roman" w:hAnsi="Times New Roman"/>
            <w:i/>
            <w:color w:val="006FC4"/>
            <w:sz w:val="20"/>
          </w:rPr>
          <w:t>Chambers v. Pennycook</w:t>
        </w:r>
        <w:r>
          <w:rPr>
            <w:rFonts w:ascii="Times New Roman" w:hAnsi="Times New Roman"/>
            <w:color w:val="006FC4"/>
            <w:sz w:val="20"/>
          </w:rPr>
          <w:t>, 641 F.3d 898, 906 (8th Cir. 2011)</w:t>
        </w:r>
      </w:hyperlink>
      <w:r>
        <w:rPr>
          <w:rFonts w:ascii="Times New Roman" w:hAnsi="Times New Roman"/>
          <w:color w:val="1F1F1F"/>
          <w:sz w:val="20"/>
        </w:rPr>
        <w:t xml:space="preserve"> (rejecting an “excessive force” requirement that would be unconstitutional when applied to a citizen with a latent weakness and constitutional when applied to a hardier person; “[t]he governing rule should not turn on such unpredictable and fortuitous consequences of an officer's use of force.”).</w:t>
      </w:r>
    </w:p>
    <w:p w14:paraId="51B52800" w14:textId="77777777" w:rsidR="000E3C3D" w:rsidRDefault="00000000">
      <w:pPr>
        <w:spacing w:after="0" w:line="275" w:lineRule="atLeast"/>
        <w:jc w:val="both"/>
      </w:pPr>
      <w:r>
        <w:rPr>
          <w:rFonts w:ascii="Times New Roman" w:hAnsi="Times New Roman"/>
          <w:color w:val="1F1F1F"/>
          <w:sz w:val="20"/>
        </w:rPr>
        <w:t> </w:t>
      </w:r>
    </w:p>
    <w:p w14:paraId="2DCC65D0" w14:textId="77777777" w:rsidR="000E3C3D" w:rsidRDefault="00000000">
      <w:pPr>
        <w:spacing w:after="0" w:line="275" w:lineRule="atLeast"/>
        <w:jc w:val="both"/>
      </w:pPr>
      <w:r>
        <w:rPr>
          <w:rFonts w:ascii="Times New Roman" w:hAnsi="Times New Roman"/>
          <w:color w:val="1F1F1F"/>
          <w:sz w:val="20"/>
        </w:rPr>
        <w:t>For these reasons, Aukes and Parks, in their individual capacities, are entitled to qualified immunity. Defendants’ motion to dismiss Locke's claim against Aukes and Parks in their individual capacities is granted.</w:t>
      </w:r>
    </w:p>
    <w:p w14:paraId="156A9FED" w14:textId="77777777" w:rsidR="000E3C3D" w:rsidRDefault="00000000">
      <w:pPr>
        <w:spacing w:after="0" w:line="275" w:lineRule="atLeast"/>
        <w:jc w:val="both"/>
      </w:pPr>
      <w:r>
        <w:rPr>
          <w:rFonts w:ascii="Times New Roman" w:hAnsi="Times New Roman"/>
          <w:color w:val="1F1F1F"/>
          <w:sz w:val="20"/>
        </w:rPr>
        <w:t> </w:t>
      </w:r>
    </w:p>
    <w:p w14:paraId="368605E3" w14:textId="77777777" w:rsidR="000E3C3D" w:rsidRDefault="00000000">
      <w:pPr>
        <w:spacing w:before="400" w:after="0" w:line="275" w:lineRule="atLeast"/>
        <w:jc w:val="both"/>
      </w:pPr>
      <w:bookmarkStart w:id="19" w:name="co_anchor_If4d94a21fb9311efb8b8b5e202"/>
      <w:bookmarkStart w:id="20" w:name="co_anchor_If4d94a21fb9311efb8b8b5e2003d"/>
      <w:r>
        <w:rPr>
          <w:rFonts w:ascii="Times New Roman" w:hAnsi="Times New Roman"/>
          <w:b/>
          <w:color w:val="1F1F1F"/>
          <w:sz w:val="20"/>
        </w:rPr>
        <w:t>II. Deputies Aukes and Parks in Their Official Capacity</w:t>
      </w:r>
    </w:p>
    <w:bookmarkEnd w:id="19"/>
    <w:bookmarkEnd w:id="20"/>
    <w:p w14:paraId="4E9CB78C" w14:textId="77777777" w:rsidR="000E3C3D" w:rsidRDefault="00000000">
      <w:pPr>
        <w:spacing w:after="0" w:line="275" w:lineRule="atLeast"/>
        <w:jc w:val="both"/>
      </w:pPr>
      <w:r>
        <w:rPr>
          <w:rFonts w:ascii="Times New Roman" w:hAnsi="Times New Roman"/>
          <w:color w:val="1F1F1F"/>
          <w:sz w:val="20"/>
        </w:rPr>
        <w:t xml:space="preserve">The Court next turns to the claim against Aukes and Parks in their official capacities. Locke's </w:t>
      </w:r>
      <w:hyperlink r:id="rId41">
        <w:r>
          <w:rPr>
            <w:rFonts w:ascii="Times New Roman" w:hAnsi="Times New Roman"/>
            <w:color w:val="006FC4"/>
            <w:sz w:val="20"/>
          </w:rPr>
          <w:t>Section 1983</w:t>
        </w:r>
      </w:hyperlink>
      <w:r>
        <w:rPr>
          <w:rFonts w:ascii="Times New Roman" w:hAnsi="Times New Roman"/>
          <w:color w:val="1F1F1F"/>
          <w:sz w:val="20"/>
        </w:rPr>
        <w:t xml:space="preserve"> claim against Defendants Aukes and Parks in their official capacity is “another way of pleadings an action against an entity of which an officer is an agent.” </w:t>
      </w:r>
      <w:hyperlink r:id="rId42" w:anchor="co_pp_sp_506_925">
        <w:r>
          <w:rPr>
            <w:rFonts w:ascii="Times New Roman" w:hAnsi="Times New Roman"/>
            <w:i/>
            <w:color w:val="006FC4"/>
            <w:sz w:val="20"/>
          </w:rPr>
          <w:t>Baker v. Chisom</w:t>
        </w:r>
        <w:r>
          <w:rPr>
            <w:rFonts w:ascii="Times New Roman" w:hAnsi="Times New Roman"/>
            <w:color w:val="006FC4"/>
            <w:sz w:val="20"/>
          </w:rPr>
          <w:t>, 501 F.3d 920, 925 (8th Cir. 2007)</w:t>
        </w:r>
      </w:hyperlink>
      <w:r>
        <w:rPr>
          <w:rFonts w:ascii="Times New Roman" w:hAnsi="Times New Roman"/>
          <w:color w:val="1F1F1F"/>
          <w:sz w:val="20"/>
        </w:rPr>
        <w:t xml:space="preserve"> (quoting </w:t>
      </w:r>
      <w:hyperlink r:id="rId43" w:anchor="co_pp_sp_780_690">
        <w:r>
          <w:rPr>
            <w:rFonts w:ascii="Times New Roman" w:hAnsi="Times New Roman"/>
            <w:i/>
            <w:color w:val="006FC4"/>
            <w:sz w:val="20"/>
          </w:rPr>
          <w:t xml:space="preserve">Monell v. </w:t>
        </w:r>
        <w:proofErr w:type="spellStart"/>
        <w:r>
          <w:rPr>
            <w:rFonts w:ascii="Times New Roman" w:hAnsi="Times New Roman"/>
            <w:i/>
            <w:color w:val="006FC4"/>
            <w:sz w:val="20"/>
          </w:rPr>
          <w:t>Dep't</w:t>
        </w:r>
        <w:proofErr w:type="spellEnd"/>
        <w:r>
          <w:rPr>
            <w:rFonts w:ascii="Times New Roman" w:hAnsi="Times New Roman"/>
            <w:i/>
            <w:color w:val="006FC4"/>
            <w:sz w:val="20"/>
          </w:rPr>
          <w:t xml:space="preserve"> of Social Services</w:t>
        </w:r>
        <w:r>
          <w:rPr>
            <w:rFonts w:ascii="Times New Roman" w:hAnsi="Times New Roman"/>
            <w:color w:val="006FC4"/>
            <w:sz w:val="20"/>
          </w:rPr>
          <w:t>, 436 U.S. 658, 690 n.55 (1978)</w:t>
        </w:r>
      </w:hyperlink>
      <w:r>
        <w:rPr>
          <w:rFonts w:ascii="Times New Roman" w:hAnsi="Times New Roman"/>
          <w:color w:val="1F1F1F"/>
          <w:sz w:val="20"/>
        </w:rPr>
        <w:t>). Accordingly, Locke's claim against Aukes and Parks in their official capacities is a claim against the County of Hubbard.</w:t>
      </w:r>
    </w:p>
    <w:p w14:paraId="6D3A46C8" w14:textId="77777777" w:rsidR="000E3C3D" w:rsidRDefault="00000000">
      <w:pPr>
        <w:spacing w:after="0" w:line="275" w:lineRule="atLeast"/>
        <w:jc w:val="both"/>
      </w:pPr>
      <w:r>
        <w:rPr>
          <w:rFonts w:ascii="Times New Roman" w:hAnsi="Times New Roman"/>
          <w:color w:val="1F1F1F"/>
          <w:sz w:val="20"/>
        </w:rPr>
        <w:t> </w:t>
      </w:r>
    </w:p>
    <w:p w14:paraId="6FBA4716" w14:textId="77777777" w:rsidR="000E3C3D" w:rsidRDefault="00000000">
      <w:pPr>
        <w:spacing w:after="0" w:line="275" w:lineRule="atLeast"/>
        <w:jc w:val="both"/>
      </w:pPr>
      <w:r>
        <w:rPr>
          <w:rFonts w:ascii="Times New Roman" w:hAnsi="Times New Roman"/>
          <w:color w:val="1F1F1F"/>
          <w:sz w:val="20"/>
        </w:rPr>
        <w:t xml:space="preserve">“Municipal liability exists ‘only where the municipality </w:t>
      </w:r>
      <w:r>
        <w:rPr>
          <w:rFonts w:ascii="Times New Roman" w:hAnsi="Times New Roman"/>
          <w:i/>
          <w:color w:val="1F1F1F"/>
          <w:sz w:val="20"/>
        </w:rPr>
        <w:t>itself</w:t>
      </w:r>
      <w:r>
        <w:rPr>
          <w:rFonts w:ascii="Times New Roman" w:hAnsi="Times New Roman"/>
          <w:color w:val="1F1F1F"/>
          <w:sz w:val="20"/>
        </w:rPr>
        <w:t xml:space="preserve"> causes the constitutional violation.’ ” </w:t>
      </w:r>
      <w:hyperlink r:id="rId44" w:anchor="co_pp_sp_506_520">
        <w:r>
          <w:rPr>
            <w:rFonts w:ascii="Times New Roman" w:hAnsi="Times New Roman"/>
            <w:i/>
            <w:color w:val="006FC4"/>
            <w:sz w:val="20"/>
          </w:rPr>
          <w:t>Perkins v. Hastings</w:t>
        </w:r>
        <w:r>
          <w:rPr>
            <w:rFonts w:ascii="Times New Roman" w:hAnsi="Times New Roman"/>
            <w:color w:val="006FC4"/>
            <w:sz w:val="20"/>
          </w:rPr>
          <w:t>, 915 F.3d 512, 520-21 (8th Cir. 2019)</w:t>
        </w:r>
      </w:hyperlink>
      <w:r>
        <w:rPr>
          <w:rFonts w:ascii="Times New Roman" w:hAnsi="Times New Roman"/>
          <w:color w:val="1F1F1F"/>
          <w:sz w:val="20"/>
        </w:rPr>
        <w:t xml:space="preserve"> (quoting </w:t>
      </w:r>
      <w:hyperlink r:id="rId45" w:anchor="co_pp_sp_780_385">
        <w:r>
          <w:rPr>
            <w:rFonts w:ascii="Times New Roman" w:hAnsi="Times New Roman"/>
            <w:i/>
            <w:color w:val="006FC4"/>
            <w:sz w:val="20"/>
          </w:rPr>
          <w:t>City of Canton v. Harris</w:t>
        </w:r>
        <w:r>
          <w:rPr>
            <w:rFonts w:ascii="Times New Roman" w:hAnsi="Times New Roman"/>
            <w:color w:val="006FC4"/>
            <w:sz w:val="20"/>
          </w:rPr>
          <w:t>, 489 U.S. 378, 385 (1989)</w:t>
        </w:r>
      </w:hyperlink>
      <w:r>
        <w:rPr>
          <w:rFonts w:ascii="Times New Roman" w:hAnsi="Times New Roman"/>
          <w:color w:val="1F1F1F"/>
          <w:sz w:val="20"/>
        </w:rPr>
        <w:t xml:space="preserve">). The County of Hubbard “may be liable under </w:t>
      </w:r>
      <w:hyperlink r:id="rId46">
        <w:r>
          <w:rPr>
            <w:rFonts w:ascii="Times New Roman" w:hAnsi="Times New Roman"/>
            <w:color w:val="006FC4"/>
            <w:sz w:val="20"/>
          </w:rPr>
          <w:t>§ 1983</w:t>
        </w:r>
      </w:hyperlink>
      <w:r>
        <w:rPr>
          <w:rFonts w:ascii="Times New Roman" w:hAnsi="Times New Roman"/>
          <w:color w:val="1F1F1F"/>
          <w:sz w:val="20"/>
        </w:rPr>
        <w:t xml:space="preserve"> for constitutional violations if a ‘violation resulted from (1) an official municipal policy, (2) an unofficial custom, or (3) a deliberately indifferent failure to train or supervise.’ ” </w:t>
      </w:r>
      <w:hyperlink r:id="rId47" w:anchor="co_pp_sp_8173_972">
        <w:r>
          <w:rPr>
            <w:rFonts w:ascii="Times New Roman" w:hAnsi="Times New Roman"/>
            <w:i/>
            <w:color w:val="006FC4"/>
            <w:sz w:val="20"/>
          </w:rPr>
          <w:t xml:space="preserve">Leftwich ex rel. Leftwich v. </w:t>
        </w:r>
        <w:proofErr w:type="spellStart"/>
        <w:r>
          <w:rPr>
            <w:rFonts w:ascii="Times New Roman" w:hAnsi="Times New Roman"/>
            <w:i/>
            <w:color w:val="006FC4"/>
            <w:sz w:val="20"/>
          </w:rPr>
          <w:t>Cty</w:t>
        </w:r>
        <w:proofErr w:type="spellEnd"/>
        <w:r>
          <w:rPr>
            <w:rFonts w:ascii="Times New Roman" w:hAnsi="Times New Roman"/>
            <w:i/>
            <w:color w:val="006FC4"/>
            <w:sz w:val="20"/>
          </w:rPr>
          <w:t>. of Dakota</w:t>
        </w:r>
        <w:r>
          <w:rPr>
            <w:rFonts w:ascii="Times New Roman" w:hAnsi="Times New Roman"/>
            <w:color w:val="006FC4"/>
            <w:sz w:val="20"/>
          </w:rPr>
          <w:t>, 9 F.4th 966, 972 (8th Cir. 2021)</w:t>
        </w:r>
      </w:hyperlink>
      <w:r>
        <w:rPr>
          <w:rFonts w:ascii="Times New Roman" w:hAnsi="Times New Roman"/>
          <w:color w:val="1F1F1F"/>
          <w:sz w:val="20"/>
        </w:rPr>
        <w:t xml:space="preserve"> (quoting </w:t>
      </w:r>
      <w:hyperlink r:id="rId48" w:anchor="co_pp_sp_506_699">
        <w:r>
          <w:rPr>
            <w:rFonts w:ascii="Times New Roman" w:hAnsi="Times New Roman"/>
            <w:i/>
            <w:color w:val="006FC4"/>
            <w:sz w:val="20"/>
          </w:rPr>
          <w:t>Corwin v. City of Independence</w:t>
        </w:r>
        <w:r>
          <w:rPr>
            <w:rFonts w:ascii="Times New Roman" w:hAnsi="Times New Roman"/>
            <w:color w:val="006FC4"/>
            <w:sz w:val="20"/>
          </w:rPr>
          <w:t>, 829 F.3d 695, 699 (8th Cir. 2016)</w:t>
        </w:r>
      </w:hyperlink>
      <w:r>
        <w:rPr>
          <w:rFonts w:ascii="Times New Roman" w:hAnsi="Times New Roman"/>
          <w:color w:val="1F1F1F"/>
          <w:sz w:val="20"/>
        </w:rPr>
        <w:t>.</w:t>
      </w:r>
    </w:p>
    <w:p w14:paraId="58460E80" w14:textId="77777777" w:rsidR="000E3C3D" w:rsidRDefault="00000000">
      <w:pPr>
        <w:spacing w:after="0" w:line="275" w:lineRule="atLeast"/>
        <w:jc w:val="both"/>
      </w:pPr>
      <w:r>
        <w:rPr>
          <w:rFonts w:ascii="Times New Roman" w:hAnsi="Times New Roman"/>
          <w:color w:val="1F1F1F"/>
          <w:sz w:val="20"/>
        </w:rPr>
        <w:t> </w:t>
      </w:r>
    </w:p>
    <w:p w14:paraId="12A739EA" w14:textId="77777777" w:rsidR="000E3C3D" w:rsidRDefault="00000000">
      <w:pPr>
        <w:spacing w:after="0" w:line="275" w:lineRule="atLeast"/>
        <w:jc w:val="both"/>
      </w:pPr>
      <w:r>
        <w:rPr>
          <w:rFonts w:ascii="Times New Roman" w:hAnsi="Times New Roman"/>
          <w:color w:val="1F1F1F"/>
          <w:sz w:val="20"/>
        </w:rPr>
        <w:lastRenderedPageBreak/>
        <w:t xml:space="preserve">Locke does not allege an official municipal policy, an unofficial custom, or a deliberately indifferent failure to train or supervise that violated his constitutional rights. Therefore, Locke fails to establish a </w:t>
      </w:r>
      <w:hyperlink r:id="rId49">
        <w:r>
          <w:rPr>
            <w:rFonts w:ascii="Times New Roman" w:hAnsi="Times New Roman"/>
            <w:color w:val="006FC4"/>
            <w:sz w:val="20"/>
          </w:rPr>
          <w:t>Section 1983</w:t>
        </w:r>
      </w:hyperlink>
      <w:r>
        <w:rPr>
          <w:rFonts w:ascii="Times New Roman" w:hAnsi="Times New Roman"/>
          <w:color w:val="1F1F1F"/>
          <w:sz w:val="20"/>
        </w:rPr>
        <w:t xml:space="preserve"> claim against Aukes and Parks in their official capacities and fails to establish a claim against the County of Hubbard. Accordingly, Defendants’ motion to dismiss Locke's claim against Aukes and Parks in their official capacities is granted.</w:t>
      </w:r>
    </w:p>
    <w:p w14:paraId="346591B0" w14:textId="77777777" w:rsidR="000E3C3D" w:rsidRDefault="00000000">
      <w:pPr>
        <w:spacing w:after="0" w:line="275" w:lineRule="atLeast"/>
        <w:jc w:val="both"/>
      </w:pPr>
      <w:r>
        <w:rPr>
          <w:rFonts w:ascii="Times New Roman" w:hAnsi="Times New Roman"/>
          <w:color w:val="1F1F1F"/>
          <w:sz w:val="20"/>
        </w:rPr>
        <w:t> </w:t>
      </w:r>
    </w:p>
    <w:p w14:paraId="3792D1F3" w14:textId="77777777" w:rsidR="000E3C3D" w:rsidRDefault="00000000">
      <w:pPr>
        <w:spacing w:before="400" w:after="0" w:line="275" w:lineRule="atLeast"/>
        <w:jc w:val="both"/>
      </w:pPr>
      <w:bookmarkStart w:id="21" w:name="co_anchor_If4daf7d1fb9311efb8b8b5e202"/>
      <w:bookmarkStart w:id="22" w:name="co_anchor_If4daf7d1fb9311efb8b8b5e2003d"/>
      <w:r>
        <w:rPr>
          <w:rFonts w:ascii="Times New Roman" w:hAnsi="Times New Roman"/>
          <w:b/>
          <w:color w:val="1F1F1F"/>
          <w:sz w:val="20"/>
        </w:rPr>
        <w:t>III. Assault and Battery Claim</w:t>
      </w:r>
    </w:p>
    <w:p w14:paraId="168D15EC" w14:textId="77777777" w:rsidR="000E3C3D" w:rsidRDefault="00000000">
      <w:pPr>
        <w:spacing w:after="0" w:line="275" w:lineRule="atLeast"/>
        <w:jc w:val="both"/>
      </w:pPr>
      <w:bookmarkStart w:id="23" w:name="co_pp_sp_999_4_1"/>
      <w:bookmarkEnd w:id="21"/>
      <w:bookmarkEnd w:id="22"/>
      <w:r>
        <w:rPr>
          <w:rFonts w:ascii="Times New Roman" w:hAnsi="Times New Roman"/>
          <w:b/>
          <w:color w:val="000000"/>
          <w:sz w:val="20"/>
        </w:rPr>
        <w:t>*4</w:t>
      </w:r>
      <w:bookmarkEnd w:id="23"/>
      <w:r>
        <w:rPr>
          <w:rFonts w:ascii="Times New Roman" w:hAnsi="Times New Roman"/>
          <w:color w:val="1F1F1F"/>
          <w:sz w:val="20"/>
        </w:rPr>
        <w:t xml:space="preserve"> Locke also asserts claims of assault and battery under Minnesota law against Defendants. Defendants contend that they are entitled to official immunity on these claims. Locke contends that he has properly alleged claims of assault and battery.</w:t>
      </w:r>
    </w:p>
    <w:p w14:paraId="3D8EAC84" w14:textId="77777777" w:rsidR="000E3C3D" w:rsidRDefault="00000000">
      <w:pPr>
        <w:spacing w:after="0" w:line="275" w:lineRule="atLeast"/>
        <w:jc w:val="both"/>
      </w:pPr>
      <w:r>
        <w:rPr>
          <w:rFonts w:ascii="Times New Roman" w:hAnsi="Times New Roman"/>
          <w:color w:val="1F1F1F"/>
          <w:sz w:val="20"/>
        </w:rPr>
        <w:t> </w:t>
      </w:r>
    </w:p>
    <w:p w14:paraId="257D1D1F" w14:textId="77777777" w:rsidR="000E3C3D" w:rsidRDefault="00000000">
      <w:pPr>
        <w:spacing w:after="0" w:line="275" w:lineRule="atLeast"/>
        <w:jc w:val="both"/>
      </w:pPr>
      <w:r>
        <w:rPr>
          <w:rFonts w:ascii="Times New Roman" w:hAnsi="Times New Roman"/>
          <w:color w:val="1F1F1F"/>
          <w:sz w:val="20"/>
        </w:rPr>
        <w:t xml:space="preserve">Under Minnesota's official immunity doctrine, “a public official charged by law with duties which call for the exercise of his [or her] judgment or discretion is not personally liable to an individual for damages unless [the official] is guilty of a willful or malicious wrong.” </w:t>
      </w:r>
      <w:hyperlink r:id="rId50" w:anchor="co_pp_sp_506_792">
        <w:r>
          <w:rPr>
            <w:rFonts w:ascii="Times New Roman" w:hAnsi="Times New Roman"/>
            <w:i/>
            <w:color w:val="006FC4"/>
            <w:sz w:val="20"/>
          </w:rPr>
          <w:t>Birkeland as Tr. for Birkeland v. Jorgensen</w:t>
        </w:r>
        <w:r>
          <w:rPr>
            <w:rFonts w:ascii="Times New Roman" w:hAnsi="Times New Roman"/>
            <w:color w:val="006FC4"/>
            <w:sz w:val="20"/>
          </w:rPr>
          <w:t>, 971 F.3d 787, 792 (8th Cir. 2020)</w:t>
        </w:r>
      </w:hyperlink>
      <w:r>
        <w:rPr>
          <w:rFonts w:ascii="Times New Roman" w:hAnsi="Times New Roman"/>
          <w:color w:val="1F1F1F"/>
          <w:sz w:val="20"/>
        </w:rPr>
        <w:t xml:space="preserve"> (quoting </w:t>
      </w:r>
      <w:hyperlink r:id="rId51" w:anchor="co_pp_sp_595_677">
        <w:r>
          <w:rPr>
            <w:rFonts w:ascii="Times New Roman" w:hAnsi="Times New Roman"/>
            <w:i/>
            <w:color w:val="006FC4"/>
            <w:sz w:val="20"/>
          </w:rPr>
          <w:t xml:space="preserve">Elwood v. </w:t>
        </w:r>
        <w:proofErr w:type="spellStart"/>
        <w:r>
          <w:rPr>
            <w:rFonts w:ascii="Times New Roman" w:hAnsi="Times New Roman"/>
            <w:i/>
            <w:color w:val="006FC4"/>
            <w:sz w:val="20"/>
          </w:rPr>
          <w:t>Cty</w:t>
        </w:r>
        <w:proofErr w:type="spellEnd"/>
        <w:r>
          <w:rPr>
            <w:rFonts w:ascii="Times New Roman" w:hAnsi="Times New Roman"/>
            <w:i/>
            <w:color w:val="006FC4"/>
            <w:sz w:val="20"/>
          </w:rPr>
          <w:t xml:space="preserve"> of Rice</w:t>
        </w:r>
        <w:r>
          <w:rPr>
            <w:rFonts w:ascii="Times New Roman" w:hAnsi="Times New Roman"/>
            <w:color w:val="006FC4"/>
            <w:sz w:val="20"/>
          </w:rPr>
          <w:t>, 423 N.W.2d 671, 677 (Minn. 1988)</w:t>
        </w:r>
      </w:hyperlink>
      <w:r>
        <w:rPr>
          <w:rFonts w:ascii="Times New Roman" w:hAnsi="Times New Roman"/>
          <w:color w:val="1F1F1F"/>
          <w:sz w:val="20"/>
        </w:rPr>
        <w:t xml:space="preserve">). An officer's decision to use force “is a discretionary decision for which official immunity applies absent a showing of a willful or malicious wrong.” </w:t>
      </w:r>
      <w:r>
        <w:rPr>
          <w:rFonts w:ascii="Times New Roman" w:hAnsi="Times New Roman"/>
          <w:i/>
          <w:color w:val="1F1F1F"/>
          <w:sz w:val="20"/>
        </w:rPr>
        <w:t>See id.</w:t>
      </w:r>
      <w:r>
        <w:rPr>
          <w:rFonts w:ascii="Times New Roman" w:hAnsi="Times New Roman"/>
          <w:color w:val="1F1F1F"/>
          <w:sz w:val="20"/>
        </w:rPr>
        <w:t xml:space="preserve"> (evaluating use of deadly force) (citing </w:t>
      </w:r>
      <w:hyperlink r:id="rId52" w:anchor="co_pp_sp_595_77">
        <w:r>
          <w:rPr>
            <w:rFonts w:ascii="Times New Roman" w:hAnsi="Times New Roman"/>
            <w:i/>
            <w:color w:val="006FC4"/>
            <w:sz w:val="20"/>
          </w:rPr>
          <w:t>Maras v. City of Brainerd</w:t>
        </w:r>
        <w:r>
          <w:rPr>
            <w:rFonts w:ascii="Times New Roman" w:hAnsi="Times New Roman"/>
            <w:color w:val="006FC4"/>
            <w:sz w:val="20"/>
          </w:rPr>
          <w:t>, 502 N.W.2d 69, 77 (Minn. Ct. App. 1993)</w:t>
        </w:r>
      </w:hyperlink>
      <w:r>
        <w:rPr>
          <w:rFonts w:ascii="Times New Roman" w:hAnsi="Times New Roman"/>
          <w:color w:val="1F1F1F"/>
          <w:sz w:val="20"/>
        </w:rPr>
        <w:t xml:space="preserve">). Malice under Minnesota law is defined as an intentional act that a public official “had reason to believe is prohibited.” </w:t>
      </w:r>
      <w:r>
        <w:rPr>
          <w:rFonts w:ascii="Times New Roman" w:hAnsi="Times New Roman"/>
          <w:i/>
          <w:color w:val="1F1F1F"/>
          <w:sz w:val="20"/>
        </w:rPr>
        <w:t>Id.</w:t>
      </w:r>
      <w:r>
        <w:rPr>
          <w:rFonts w:ascii="Times New Roman" w:hAnsi="Times New Roman"/>
          <w:color w:val="1F1F1F"/>
          <w:sz w:val="20"/>
        </w:rPr>
        <w:t xml:space="preserve"> (quoting </w:t>
      </w:r>
      <w:hyperlink r:id="rId53" w:anchor="co_pp_sp_595_571">
        <w:r>
          <w:rPr>
            <w:rFonts w:ascii="Times New Roman" w:hAnsi="Times New Roman"/>
            <w:i/>
            <w:color w:val="006FC4"/>
            <w:sz w:val="20"/>
          </w:rPr>
          <w:t>State by Beaulieu v. City of Mounds View</w:t>
        </w:r>
        <w:r>
          <w:rPr>
            <w:rFonts w:ascii="Times New Roman" w:hAnsi="Times New Roman"/>
            <w:color w:val="006FC4"/>
            <w:sz w:val="20"/>
          </w:rPr>
          <w:t>, 518 N.W.2d 567, 571 (Minn. 1994)</w:t>
        </w:r>
      </w:hyperlink>
      <w:r>
        <w:rPr>
          <w:rFonts w:ascii="Times New Roman" w:hAnsi="Times New Roman"/>
          <w:color w:val="1F1F1F"/>
          <w:sz w:val="20"/>
        </w:rPr>
        <w:t>.</w:t>
      </w:r>
    </w:p>
    <w:p w14:paraId="4BD2E795" w14:textId="77777777" w:rsidR="000E3C3D" w:rsidRDefault="00000000">
      <w:pPr>
        <w:spacing w:after="0" w:line="275" w:lineRule="atLeast"/>
        <w:jc w:val="both"/>
      </w:pPr>
      <w:r>
        <w:rPr>
          <w:rFonts w:ascii="Times New Roman" w:hAnsi="Times New Roman"/>
          <w:color w:val="1F1F1F"/>
          <w:sz w:val="20"/>
        </w:rPr>
        <w:t> </w:t>
      </w:r>
    </w:p>
    <w:p w14:paraId="750B173E" w14:textId="77777777" w:rsidR="000E3C3D" w:rsidRDefault="00000000">
      <w:pPr>
        <w:spacing w:after="0" w:line="275" w:lineRule="atLeast"/>
        <w:jc w:val="both"/>
      </w:pPr>
      <w:r>
        <w:rPr>
          <w:rFonts w:ascii="Times New Roman" w:hAnsi="Times New Roman"/>
          <w:color w:val="1F1F1F"/>
          <w:sz w:val="20"/>
        </w:rPr>
        <w:t>As addressed in Section I, Parks and Aukes would not have had reason to believe that the use of pain compliance techniques was prohibited. And Locke does not allege that Parks and Aukes would have had reason to know that the use of pain compliance techniques was prohibited. Parks and Aukes, therefore, did not act with malice and are also entitled to official immunity.</w:t>
      </w:r>
    </w:p>
    <w:p w14:paraId="458796BD" w14:textId="77777777" w:rsidR="000E3C3D" w:rsidRDefault="00000000">
      <w:pPr>
        <w:spacing w:after="0" w:line="275" w:lineRule="atLeast"/>
        <w:jc w:val="both"/>
      </w:pPr>
      <w:r>
        <w:rPr>
          <w:rFonts w:ascii="Times New Roman" w:hAnsi="Times New Roman"/>
          <w:color w:val="1F1F1F"/>
          <w:sz w:val="20"/>
        </w:rPr>
        <w:t> </w:t>
      </w:r>
    </w:p>
    <w:p w14:paraId="7DAEBC2E" w14:textId="77777777" w:rsidR="000E3C3D" w:rsidRDefault="00000000">
      <w:pPr>
        <w:spacing w:after="0" w:line="275" w:lineRule="atLeast"/>
        <w:jc w:val="both"/>
      </w:pPr>
      <w:r>
        <w:rPr>
          <w:rFonts w:ascii="Times New Roman" w:hAnsi="Times New Roman"/>
          <w:color w:val="1F1F1F"/>
          <w:sz w:val="20"/>
        </w:rPr>
        <w:t xml:space="preserve">Finally, because the deputies’ discretionary decisions are entitled to official immunity, the County of Hubbard is not vicariously liable. </w:t>
      </w:r>
      <w:hyperlink r:id="rId54" w:anchor="co_pp_sp_506_1056">
        <w:r>
          <w:rPr>
            <w:rFonts w:ascii="Times New Roman" w:hAnsi="Times New Roman"/>
            <w:i/>
            <w:color w:val="006FC4"/>
            <w:sz w:val="20"/>
          </w:rPr>
          <w:t>Hayek v. City of St. Paul</w:t>
        </w:r>
        <w:r>
          <w:rPr>
            <w:rFonts w:ascii="Times New Roman" w:hAnsi="Times New Roman"/>
            <w:color w:val="006FC4"/>
            <w:sz w:val="20"/>
          </w:rPr>
          <w:t>, 488 F.3d 1049, 1056, 1057 (8th Cir. 2007)</w:t>
        </w:r>
      </w:hyperlink>
      <w:r>
        <w:rPr>
          <w:rFonts w:ascii="Times New Roman" w:hAnsi="Times New Roman"/>
          <w:color w:val="1F1F1F"/>
          <w:sz w:val="20"/>
        </w:rPr>
        <w:t xml:space="preserve"> (observing that official immunity protects the government entities from vicarious liability arising from the state actor's conduct).</w:t>
      </w:r>
    </w:p>
    <w:p w14:paraId="337623A7" w14:textId="77777777" w:rsidR="000E3C3D" w:rsidRDefault="00000000">
      <w:pPr>
        <w:spacing w:after="0" w:line="275" w:lineRule="atLeast"/>
        <w:jc w:val="both"/>
      </w:pPr>
      <w:r>
        <w:rPr>
          <w:rFonts w:ascii="Times New Roman" w:hAnsi="Times New Roman"/>
          <w:color w:val="1F1F1F"/>
          <w:sz w:val="20"/>
        </w:rPr>
        <w:t> </w:t>
      </w:r>
    </w:p>
    <w:p w14:paraId="564289B8" w14:textId="77777777" w:rsidR="000E3C3D" w:rsidRDefault="00000000">
      <w:pPr>
        <w:spacing w:before="400" w:after="0" w:line="275" w:lineRule="atLeast"/>
        <w:jc w:val="both"/>
      </w:pPr>
      <w:bookmarkStart w:id="24" w:name="co_anchor_If4dccc91fb9311efb8b8b5e2003d"/>
      <w:r>
        <w:rPr>
          <w:rFonts w:ascii="Times New Roman" w:hAnsi="Times New Roman"/>
          <w:b/>
          <w:color w:val="1F1F1F"/>
          <w:sz w:val="20"/>
        </w:rPr>
        <w:t>ORDER</w:t>
      </w:r>
    </w:p>
    <w:bookmarkEnd w:id="24"/>
    <w:p w14:paraId="51AA3FB2" w14:textId="77777777" w:rsidR="000E3C3D" w:rsidRDefault="00000000">
      <w:pPr>
        <w:spacing w:before="200" w:after="0" w:line="275" w:lineRule="atLeast"/>
        <w:jc w:val="both"/>
      </w:pPr>
      <w:r>
        <w:rPr>
          <w:rFonts w:ascii="Times New Roman" w:hAnsi="Times New Roman"/>
          <w:color w:val="1F1F1F"/>
          <w:sz w:val="20"/>
        </w:rPr>
        <w:t xml:space="preserve">Based on the foregoing analysis and all the files, records and proceedings herein, </w:t>
      </w:r>
      <w:r>
        <w:rPr>
          <w:rFonts w:ascii="Times New Roman" w:hAnsi="Times New Roman"/>
          <w:b/>
          <w:color w:val="1F1F1F"/>
          <w:sz w:val="20"/>
        </w:rPr>
        <w:t>IT IS HEREBY ORDERED</w:t>
      </w:r>
      <w:r>
        <w:rPr>
          <w:rFonts w:ascii="Times New Roman" w:hAnsi="Times New Roman"/>
          <w:color w:val="1F1F1F"/>
          <w:sz w:val="20"/>
        </w:rPr>
        <w:t xml:space="preserve"> that this matter is dismissed.</w:t>
      </w:r>
    </w:p>
    <w:p w14:paraId="0B5A6011" w14:textId="77777777" w:rsidR="000E3C3D" w:rsidRDefault="00000000">
      <w:pPr>
        <w:spacing w:after="0" w:line="275" w:lineRule="atLeast"/>
        <w:jc w:val="both"/>
      </w:pPr>
      <w:r>
        <w:rPr>
          <w:rFonts w:ascii="Times New Roman" w:hAnsi="Times New Roman"/>
          <w:color w:val="1F1F1F"/>
          <w:sz w:val="20"/>
        </w:rPr>
        <w:t> </w:t>
      </w:r>
    </w:p>
    <w:p w14:paraId="25241BD5" w14:textId="77777777" w:rsidR="000E3C3D" w:rsidRDefault="00000000">
      <w:pPr>
        <w:spacing w:after="0" w:line="275" w:lineRule="atLeast"/>
        <w:jc w:val="both"/>
      </w:pPr>
      <w:r>
        <w:rPr>
          <w:rFonts w:ascii="Times New Roman" w:hAnsi="Times New Roman"/>
          <w:b/>
          <w:color w:val="1F1F1F"/>
          <w:sz w:val="20"/>
        </w:rPr>
        <w:t>LET JUDGMENT BE ENTERED ACCORDINGLY.</w:t>
      </w:r>
    </w:p>
    <w:p w14:paraId="754C81EF" w14:textId="77777777" w:rsidR="000E3C3D" w:rsidRDefault="00000000">
      <w:pPr>
        <w:spacing w:after="0" w:line="275" w:lineRule="atLeast"/>
        <w:jc w:val="both"/>
      </w:pPr>
      <w:r>
        <w:rPr>
          <w:rFonts w:ascii="Times New Roman" w:hAnsi="Times New Roman"/>
          <w:color w:val="1F1F1F"/>
          <w:sz w:val="20"/>
        </w:rPr>
        <w:t> </w:t>
      </w:r>
    </w:p>
    <w:p w14:paraId="13219993" w14:textId="77777777" w:rsidR="000E3C3D" w:rsidRDefault="00000000">
      <w:pPr>
        <w:keepNext/>
        <w:keepLines/>
        <w:spacing w:before="200" w:after="0" w:line="275" w:lineRule="atLeast"/>
        <w:jc w:val="both"/>
      </w:pPr>
      <w:bookmarkStart w:id="25" w:name="co_allCitations_1"/>
      <w:r>
        <w:rPr>
          <w:rFonts w:ascii="Times New Roman" w:hAnsi="Times New Roman"/>
          <w:b/>
          <w:color w:val="212121"/>
          <w:sz w:val="20"/>
        </w:rPr>
        <w:t>All Citations</w:t>
      </w:r>
    </w:p>
    <w:bookmarkEnd w:id="25"/>
    <w:p w14:paraId="0B0D57AD" w14:textId="77777777" w:rsidR="000E3C3D" w:rsidRDefault="00000000">
      <w:pPr>
        <w:spacing w:before="200" w:after="0" w:line="275" w:lineRule="atLeast"/>
        <w:jc w:val="both"/>
      </w:pPr>
      <w:r>
        <w:rPr>
          <w:rFonts w:ascii="Times New Roman" w:hAnsi="Times New Roman"/>
          <w:color w:val="1F1F1F"/>
          <w:sz w:val="20"/>
        </w:rPr>
        <w:t>Not Reported in Fed. Supp., 2024 WL 229984</w:t>
      </w:r>
    </w:p>
    <w:p w14:paraId="19E92EF6" w14:textId="77777777" w:rsidR="000E3C3D" w:rsidRDefault="000E3C3D">
      <w:pPr>
        <w:spacing w:after="0" w:line="240" w:lineRule="auto"/>
        <w:rPr>
          <w:sz w:val="20"/>
        </w:rPr>
      </w:pP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010B5C" w14:paraId="374D8AC4" w14:textId="77777777" w:rsidTr="00010B5C">
        <w:tblPrEx>
          <w:tblCellMar>
            <w:top w:w="0" w:type="dxa"/>
            <w:bottom w:w="0" w:type="dxa"/>
          </w:tblCellMar>
        </w:tblPrEx>
        <w:tc>
          <w:tcPr>
            <w:tcW w:w="10050" w:type="dxa"/>
            <w:gridSpan w:val="2"/>
            <w:tcMar>
              <w:top w:w="200" w:type="dxa"/>
            </w:tcMar>
          </w:tcPr>
          <w:p w14:paraId="21BB662A" w14:textId="77777777" w:rsidR="000E3C3D" w:rsidRDefault="00000000">
            <w:pPr>
              <w:spacing w:after="0" w:line="275" w:lineRule="atLeast"/>
            </w:pPr>
            <w:bookmarkStart w:id="26" w:name="co_footnoteSection_1"/>
            <w:r>
              <w:rPr>
                <w:rFonts w:ascii="Times New Roman" w:hAnsi="Times New Roman"/>
                <w:color w:val="1F1F1F"/>
                <w:sz w:val="20"/>
              </w:rPr>
              <w:t>Footnotes</w:t>
            </w:r>
          </w:p>
        </w:tc>
      </w:tr>
      <w:bookmarkStart w:id="27" w:name="co_footnote_B00012078396060_1"/>
      <w:bookmarkEnd w:id="26"/>
      <w:tr w:rsidR="000E3C3D" w14:paraId="558C69DD" w14:textId="77777777">
        <w:tblPrEx>
          <w:tblCellMar>
            <w:top w:w="0" w:type="dxa"/>
            <w:bottom w:w="0" w:type="dxa"/>
          </w:tblCellMar>
        </w:tblPrEx>
        <w:tc>
          <w:tcPr>
            <w:tcW w:w="600" w:type="dxa"/>
          </w:tcPr>
          <w:p w14:paraId="34D15294" w14:textId="77777777" w:rsidR="000E3C3D" w:rsidRDefault="00000000">
            <w:pPr>
              <w:spacing w:after="0" w:line="275" w:lineRule="atLeast"/>
            </w:pPr>
            <w:r>
              <w:fldChar w:fldCharType="begin"/>
            </w:r>
            <w:r>
              <w:instrText>HYPERLINK \l "co_fnRef_B00012078396060_ID0EXBAC_1" \h</w:instrText>
            </w:r>
            <w:r>
              <w:fldChar w:fldCharType="separate"/>
            </w:r>
            <w:r>
              <w:rPr>
                <w:rFonts w:ascii="Times New Roman" w:hAnsi="Times New Roman"/>
                <w:color w:val="006FC4"/>
                <w:sz w:val="20"/>
                <w:vertAlign w:val="superscript"/>
              </w:rPr>
              <w:t>1</w:t>
            </w:r>
            <w:r>
              <w:fldChar w:fldCharType="end"/>
            </w:r>
            <w:bookmarkEnd w:id="27"/>
          </w:p>
        </w:tc>
        <w:tc>
          <w:tcPr>
            <w:tcW w:w="9450" w:type="dxa"/>
          </w:tcPr>
          <w:p w14:paraId="5D59B548" w14:textId="77777777" w:rsidR="000E3C3D" w:rsidRDefault="00000000">
            <w:pPr>
              <w:pBdr>
                <w:bottom w:val="none" w:sz="0" w:space="8" w:color="auto"/>
              </w:pBdr>
              <w:spacing w:after="0" w:line="255" w:lineRule="atLeast"/>
              <w:jc w:val="both"/>
            </w:pPr>
            <w:r>
              <w:rPr>
                <w:rFonts w:ascii="Times New Roman" w:hAnsi="Times New Roman"/>
                <w:color w:val="1F1F1F"/>
                <w:sz w:val="18"/>
              </w:rPr>
              <w:t>A sleeping dragon device is an improvised tool made by protestors to secure themselves to each other or to equipment, with their arms fed through a pipe or a tube. By locking their hands together inside the device, the protestors hinder the ability of law enforcement officers to remove them.</w:t>
            </w:r>
          </w:p>
        </w:tc>
      </w:tr>
      <w:bookmarkStart w:id="28" w:name="co_footnote_B00022078396060_1"/>
      <w:tr w:rsidR="000E3C3D" w14:paraId="395FC9C3" w14:textId="77777777">
        <w:tblPrEx>
          <w:tblCellMar>
            <w:top w:w="0" w:type="dxa"/>
            <w:bottom w:w="0" w:type="dxa"/>
          </w:tblCellMar>
        </w:tblPrEx>
        <w:tc>
          <w:tcPr>
            <w:tcW w:w="600" w:type="dxa"/>
          </w:tcPr>
          <w:p w14:paraId="06C633E8" w14:textId="77777777" w:rsidR="000E3C3D" w:rsidRDefault="00000000">
            <w:pPr>
              <w:spacing w:after="0" w:line="275" w:lineRule="atLeast"/>
            </w:pPr>
            <w:r>
              <w:fldChar w:fldCharType="begin"/>
            </w:r>
            <w:r>
              <w:instrText>HYPERLINK \l "co_fnRef_B00022078396060_ID0E5BAE_1" \h</w:instrText>
            </w:r>
            <w:r>
              <w:fldChar w:fldCharType="separate"/>
            </w:r>
            <w:r>
              <w:rPr>
                <w:rFonts w:ascii="Times New Roman" w:hAnsi="Times New Roman"/>
                <w:color w:val="006FC4"/>
                <w:sz w:val="20"/>
                <w:vertAlign w:val="superscript"/>
              </w:rPr>
              <w:t>2</w:t>
            </w:r>
            <w:r>
              <w:fldChar w:fldCharType="end"/>
            </w:r>
            <w:bookmarkEnd w:id="28"/>
          </w:p>
        </w:tc>
        <w:tc>
          <w:tcPr>
            <w:tcW w:w="9450" w:type="dxa"/>
          </w:tcPr>
          <w:p w14:paraId="7CC1FEFA" w14:textId="77777777" w:rsidR="000E3C3D" w:rsidRDefault="00000000">
            <w:pPr>
              <w:pBdr>
                <w:bottom w:val="none" w:sz="0" w:space="8" w:color="auto"/>
              </w:pBdr>
              <w:spacing w:after="0" w:line="255" w:lineRule="atLeast"/>
              <w:jc w:val="both"/>
            </w:pPr>
            <w:r>
              <w:rPr>
                <w:rFonts w:ascii="Times New Roman" w:hAnsi="Times New Roman"/>
                <w:color w:val="1F1F1F"/>
                <w:sz w:val="18"/>
              </w:rPr>
              <w:t xml:space="preserve">A black bear device is similar a sleeping dragon device. A black bear device is a cylinder with a rod or post welded into the center. Protestors place their arms into the steel cylinders of the black bear device and attach steel bracelets worn around their wrists to </w:t>
            </w:r>
            <w:r>
              <w:rPr>
                <w:rFonts w:ascii="Times New Roman" w:hAnsi="Times New Roman"/>
                <w:color w:val="1F1F1F"/>
                <w:sz w:val="18"/>
              </w:rPr>
              <w:lastRenderedPageBreak/>
              <w:t>the center rods of the device.</w:t>
            </w:r>
          </w:p>
        </w:tc>
      </w:tr>
    </w:tbl>
    <w:p w14:paraId="2ACC0AF1" w14:textId="77777777" w:rsidR="000E3C3D" w:rsidRDefault="000E3C3D">
      <w:pPr>
        <w:spacing w:after="0" w:line="240" w:lineRule="auto"/>
        <w:rPr>
          <w:sz w:val="20"/>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0E3C3D" w14:paraId="1A665F9B"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70CC95DE" w14:textId="77777777" w:rsidR="000E3C3D" w:rsidRDefault="00000000">
            <w:pPr>
              <w:spacing w:after="0" w:line="235" w:lineRule="atLeast"/>
            </w:pPr>
            <w:bookmarkStart w:id="29" w:name="co_endOfDocument_1_1"/>
            <w:r>
              <w:rPr>
                <w:rFonts w:ascii="Times New Roman" w:hAnsi="Times New Roman"/>
                <w:b/>
                <w:color w:val="777777"/>
                <w:sz w:val="16"/>
              </w:rPr>
              <w:t>End of Document</w:t>
            </w:r>
          </w:p>
        </w:tc>
        <w:tc>
          <w:tcPr>
            <w:tcW w:w="5745" w:type="dxa"/>
            <w:tcBorders>
              <w:top w:val="single" w:sz="4" w:space="0" w:color="777777"/>
            </w:tcBorders>
            <w:tcMar>
              <w:top w:w="75" w:type="dxa"/>
              <w:left w:w="25" w:type="dxa"/>
              <w:right w:w="25" w:type="dxa"/>
            </w:tcMar>
          </w:tcPr>
          <w:p w14:paraId="739E4913" w14:textId="77777777" w:rsidR="000E3C3D" w:rsidRDefault="00000000">
            <w:pPr>
              <w:spacing w:after="0" w:line="235" w:lineRule="atLeast"/>
              <w:jc w:val="right"/>
            </w:pPr>
            <w:r>
              <w:rPr>
                <w:rFonts w:ascii="Times New Roman" w:hAnsi="Times New Roman"/>
                <w:color w:val="777777"/>
                <w:sz w:val="17"/>
              </w:rPr>
              <w:t>© 2025 Thomson Reuters. No claim to original U.S. Government Works.</w:t>
            </w:r>
          </w:p>
        </w:tc>
      </w:tr>
      <w:bookmarkEnd w:id="29"/>
    </w:tbl>
    <w:p w14:paraId="646E80F8" w14:textId="77777777" w:rsidR="00C7364D" w:rsidRDefault="00C7364D"/>
    <w:sectPr w:rsidR="00C7364D">
      <w:headerReference w:type="even" r:id="rId55"/>
      <w:headerReference w:type="default" r:id="rId56"/>
      <w:footerReference w:type="even" r:id="rId57"/>
      <w:footerReference w:type="default" r:id="rId58"/>
      <w:pgSz w:w="12240" w:h="15840"/>
      <w:pgMar w:top="1080" w:right="1080" w:bottom="1080" w:left="10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7503F" w14:textId="77777777" w:rsidR="00C7364D" w:rsidRDefault="00C7364D">
      <w:pPr>
        <w:spacing w:after="0" w:line="240" w:lineRule="auto"/>
      </w:pPr>
      <w:r>
        <w:separator/>
      </w:r>
    </w:p>
  </w:endnote>
  <w:endnote w:type="continuationSeparator" w:id="0">
    <w:p w14:paraId="6F877E4F" w14:textId="77777777" w:rsidR="00C7364D" w:rsidRDefault="00C7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0E3C3D" w14:paraId="3E9EC8DB" w14:textId="77777777">
      <w:tblPrEx>
        <w:tblCellMar>
          <w:top w:w="0" w:type="dxa"/>
          <w:bottom w:w="0" w:type="dxa"/>
        </w:tblCellMar>
      </w:tblPrEx>
      <w:tc>
        <w:tcPr>
          <w:tcW w:w="9270" w:type="dxa"/>
          <w:tcBorders>
            <w:top w:val="single" w:sz="6" w:space="0" w:color="AAAAAA"/>
          </w:tcBorders>
          <w:tcMar>
            <w:top w:w="60" w:type="dxa"/>
          </w:tcMar>
          <w:vAlign w:val="bottom"/>
        </w:tcPr>
        <w:p w14:paraId="272626A3" w14:textId="77777777" w:rsidR="000E3C3D" w:rsidRDefault="00000000">
          <w:pPr>
            <w:spacing w:after="0" w:line="240" w:lineRule="auto"/>
          </w:pPr>
          <w:r>
            <w:rPr>
              <w:rFonts w:ascii="Arial" w:hAnsi="Arial"/>
              <w:noProof/>
              <w:color w:val="AAAAAA"/>
              <w:sz w:val="20"/>
            </w:rPr>
            <w:drawing>
              <wp:inline distT="0" distB="0" distL="0" distR="0" wp14:anchorId="51ED99DF" wp14:editId="2334E278">
                <wp:extent cx="742950" cy="95250"/>
                <wp:effectExtent l="0" t="0" r="0" b="0"/>
                <wp:docPr id="815690756" name="Picture 0" descr="Westlaw Logo"/>
                <wp:cNvGraphicFramePr/>
                <a:graphic xmlns:a="http://schemas.openxmlformats.org/drawingml/2006/main">
                  <a:graphicData uri="http://schemas.openxmlformats.org/drawingml/2006/picture">
                    <pic:pic xmlns:pic="http://schemas.openxmlformats.org/drawingml/2006/picture">
                      <pic:nvPicPr>
                        <pic:cNvPr id="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7DA50431" w14:textId="77777777" w:rsidR="000E3C3D" w:rsidRDefault="00000000">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0E3C3D" w14:paraId="29963D39" w14:textId="77777777">
      <w:tblPrEx>
        <w:tblCellMar>
          <w:top w:w="0" w:type="dxa"/>
          <w:bottom w:w="0" w:type="dxa"/>
        </w:tblCellMar>
      </w:tblPrEx>
      <w:tc>
        <w:tcPr>
          <w:tcW w:w="9270" w:type="dxa"/>
          <w:tcBorders>
            <w:top w:val="single" w:sz="6" w:space="0" w:color="AAAAAA"/>
          </w:tcBorders>
          <w:tcMar>
            <w:top w:w="60" w:type="dxa"/>
          </w:tcMar>
          <w:vAlign w:val="bottom"/>
        </w:tcPr>
        <w:p w14:paraId="5F53F71F" w14:textId="77777777" w:rsidR="000E3C3D" w:rsidRDefault="00000000">
          <w:pPr>
            <w:spacing w:after="0" w:line="240" w:lineRule="auto"/>
          </w:pPr>
          <w:r>
            <w:rPr>
              <w:rFonts w:ascii="Arial" w:hAnsi="Arial"/>
              <w:noProof/>
              <w:color w:val="AAAAAA"/>
              <w:sz w:val="20"/>
            </w:rPr>
            <w:drawing>
              <wp:inline distT="0" distB="0" distL="0" distR="0" wp14:anchorId="3EE0E2FF" wp14:editId="54711C77">
                <wp:extent cx="742950" cy="95250"/>
                <wp:effectExtent l="0" t="0" r="0" b="0"/>
                <wp:docPr id="3" name="Picture 0" descr="Westlaw Logo"/>
                <wp:cNvGraphicFramePr/>
                <a:graphic xmlns:a="http://schemas.openxmlformats.org/drawingml/2006/main">
                  <a:graphicData uri="http://schemas.openxmlformats.org/drawingml/2006/picture">
                    <pic:pic xmlns:pic="http://schemas.openxmlformats.org/drawingml/2006/picture">
                      <pic:nvPicPr>
                        <pic:cNvPr id="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333C40FF" w14:textId="77777777" w:rsidR="000E3C3D" w:rsidRDefault="00000000">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3EA7" w14:textId="77777777" w:rsidR="00C7364D" w:rsidRDefault="00C7364D">
      <w:pPr>
        <w:spacing w:after="0" w:line="240" w:lineRule="auto"/>
      </w:pPr>
      <w:r>
        <w:separator/>
      </w:r>
    </w:p>
  </w:footnote>
  <w:footnote w:type="continuationSeparator" w:id="0">
    <w:p w14:paraId="5ECC19A9" w14:textId="77777777" w:rsidR="00C7364D" w:rsidRDefault="00C7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0E3C3D" w14:paraId="5FDA534C"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582B7D2A" w14:textId="77777777" w:rsidR="000E3C3D" w:rsidRDefault="00000000">
          <w:pPr>
            <w:spacing w:after="0" w:line="240" w:lineRule="auto"/>
          </w:pPr>
          <w:r>
            <w:rPr>
              <w:rFonts w:ascii="Arial" w:hAnsi="Arial"/>
              <w:b/>
              <w:color w:val="555555"/>
              <w:sz w:val="18"/>
            </w:rPr>
            <w:t>Locke v. County of Hubbard, Not Reported in Fed. Supp. (2024)</w:t>
          </w:r>
        </w:p>
      </w:tc>
      <w:tc>
        <w:tcPr>
          <w:tcW w:w="705" w:type="dxa"/>
          <w:tcBorders>
            <w:bottom w:val="single" w:sz="6" w:space="0" w:color="AAAAAA"/>
          </w:tcBorders>
          <w:tcMar>
            <w:top w:w="390" w:type="dxa"/>
            <w:bottom w:w="60" w:type="dxa"/>
          </w:tcMar>
        </w:tcPr>
        <w:p w14:paraId="176D86D5" w14:textId="77777777" w:rsidR="000E3C3D" w:rsidRDefault="000E3C3D">
          <w:pPr>
            <w:spacing w:after="0" w:line="240" w:lineRule="auto"/>
            <w:rPr>
              <w:rFonts w:ascii="Arial" w:hAnsi="Arial"/>
              <w:color w:val="000000"/>
              <w:sz w:val="18"/>
            </w:rPr>
          </w:pPr>
        </w:p>
      </w:tc>
    </w:tr>
    <w:tr w:rsidR="00010B5C" w14:paraId="799FC550" w14:textId="77777777" w:rsidTr="00010B5C">
      <w:tblPrEx>
        <w:tblCellMar>
          <w:top w:w="0" w:type="dxa"/>
          <w:bottom w:w="0" w:type="dxa"/>
        </w:tblCellMar>
      </w:tblPrEx>
      <w:tc>
        <w:tcPr>
          <w:tcW w:w="10065" w:type="dxa"/>
          <w:gridSpan w:val="2"/>
        </w:tcPr>
        <w:p w14:paraId="55BA741B" w14:textId="77777777" w:rsidR="000E3C3D" w:rsidRDefault="000E3C3D">
          <w:pPr>
            <w:spacing w:after="0" w:line="240" w:lineRule="auto"/>
            <w:rPr>
              <w:rFonts w:ascii="Arial" w:hAnsi="Arial"/>
              <w:color w:val="000000"/>
              <w:sz w:val="18"/>
            </w:rPr>
          </w:pPr>
        </w:p>
      </w:tc>
    </w:tr>
  </w:tbl>
  <w:p w14:paraId="01618461" w14:textId="77777777" w:rsidR="000E3C3D"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0E3C3D" w14:paraId="65CD4FDB"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0DE5BA92" w14:textId="77777777" w:rsidR="000E3C3D" w:rsidRDefault="00000000">
          <w:pPr>
            <w:spacing w:after="0" w:line="240" w:lineRule="auto"/>
          </w:pPr>
          <w:r>
            <w:rPr>
              <w:rFonts w:ascii="Arial" w:hAnsi="Arial"/>
              <w:b/>
              <w:color w:val="555555"/>
              <w:sz w:val="18"/>
            </w:rPr>
            <w:t>Locke v. County of Hubbard, Not Reported in Fed. Supp. (2024)</w:t>
          </w:r>
        </w:p>
      </w:tc>
      <w:tc>
        <w:tcPr>
          <w:tcW w:w="705" w:type="dxa"/>
          <w:tcBorders>
            <w:bottom w:val="single" w:sz="6" w:space="0" w:color="AAAAAA"/>
          </w:tcBorders>
          <w:tcMar>
            <w:top w:w="390" w:type="dxa"/>
            <w:bottom w:w="60" w:type="dxa"/>
          </w:tcMar>
        </w:tcPr>
        <w:p w14:paraId="41333D8E" w14:textId="77777777" w:rsidR="000E3C3D" w:rsidRDefault="000E3C3D">
          <w:pPr>
            <w:spacing w:after="0" w:line="240" w:lineRule="auto"/>
            <w:rPr>
              <w:rFonts w:ascii="Arial" w:hAnsi="Arial"/>
              <w:color w:val="000000"/>
              <w:sz w:val="18"/>
            </w:rPr>
          </w:pPr>
        </w:p>
      </w:tc>
    </w:tr>
    <w:tr w:rsidR="00010B5C" w14:paraId="2125597D" w14:textId="77777777" w:rsidTr="00010B5C">
      <w:tblPrEx>
        <w:tblCellMar>
          <w:top w:w="0" w:type="dxa"/>
          <w:bottom w:w="0" w:type="dxa"/>
        </w:tblCellMar>
      </w:tblPrEx>
      <w:tc>
        <w:tcPr>
          <w:tcW w:w="10065" w:type="dxa"/>
          <w:gridSpan w:val="2"/>
        </w:tcPr>
        <w:p w14:paraId="107D6FDC" w14:textId="77777777" w:rsidR="000E3C3D" w:rsidRDefault="000E3C3D">
          <w:pPr>
            <w:spacing w:after="0" w:line="240" w:lineRule="auto"/>
            <w:rPr>
              <w:rFonts w:ascii="Arial" w:hAnsi="Arial"/>
              <w:color w:val="000000"/>
              <w:sz w:val="18"/>
            </w:rPr>
          </w:pPr>
        </w:p>
      </w:tc>
    </w:tr>
  </w:tbl>
  <w:p w14:paraId="30E6C2D7" w14:textId="77777777" w:rsidR="000E3C3D"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3D"/>
    <w:rsid w:val="00010B5C"/>
    <w:rsid w:val="000E3C3D"/>
    <w:rsid w:val="00C7364D"/>
    <w:rsid w:val="00F2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9F1C"/>
  <w15:docId w15:val="{184310CA-378F-4F27-8804-C45C1DDA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L&amp;pubNum=1000600&amp;cite=USFRCPR12&amp;originatingDoc=I6adb6490b9bb11eeaece92e459f12ff5&amp;refType=LQ&amp;originationContext=document&amp;vr=3.0&amp;rs=cblt1.0&amp;transitionType=DocumentItem&amp;contextData=(sc.Keycite)" TargetMode="External"/><Relationship Id="rId18" Type="http://schemas.openxmlformats.org/officeDocument/2006/relationships/hyperlink" Target="https://www.westlaw.com/Link/Document/FullText?findType=Y&amp;serNum=2012293296&amp;pubNum=0000780&amp;originatingDoc=I6adb6490b9bb11eeaece92e459f12ff5&amp;refType=RP&amp;fi=co_pp_sp_780_555&amp;originationContext=document&amp;vr=3.0&amp;rs=cblt1.0&amp;transitionType=DocumentItem&amp;contextData=(sc.Keycite)" TargetMode="External"/><Relationship Id="rId26" Type="http://schemas.openxmlformats.org/officeDocument/2006/relationships/hyperlink" Target="https://www.westlaw.com/Link/Document/FullText?findType=Y&amp;serNum=2002399101&amp;pubNum=0000780&amp;originatingDoc=I6adb6490b9bb11eeaece92e459f12ff5&amp;refType=RP&amp;fi=co_pp_sp_780_741&amp;originationContext=document&amp;vr=3.0&amp;rs=cblt1.0&amp;transitionType=DocumentItem&amp;contextData=(sc.Keycite)" TargetMode="External"/><Relationship Id="rId39" Type="http://schemas.openxmlformats.org/officeDocument/2006/relationships/hyperlink" Target="https://www.westlaw.com/Link/Document/FullText?findType=Y&amp;serNum=1994120268&amp;pubNum=0000506&amp;originatingDoc=I6adb6490b9bb11eeaece92e459f12ff5&amp;refType=RP&amp;fi=co_pp_sp_506_809&amp;originationContext=document&amp;vr=3.0&amp;rs=cblt1.0&amp;transitionType=DocumentItem&amp;contextData=(sc.Keycite)" TargetMode="External"/><Relationship Id="rId21"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34" Type="http://schemas.openxmlformats.org/officeDocument/2006/relationships/hyperlink" Target="https://www.westlaw.com/Link/Document/FullText?findType=Y&amp;serNum=2002052309&amp;pubNum=0000506&amp;originatingDoc=I6adb6490b9bb11eeaece92e459f12ff5&amp;refType=RP&amp;fi=co_pp_sp_506_1131&amp;originationContext=document&amp;vr=3.0&amp;rs=cblt1.0&amp;transitionType=DocumentItem&amp;contextData=(sc.Keycite)" TargetMode="External"/><Relationship Id="rId42" Type="http://schemas.openxmlformats.org/officeDocument/2006/relationships/hyperlink" Target="https://www.westlaw.com/Link/Document/FullText?findType=Y&amp;serNum=2012991499&amp;pubNum=0000506&amp;originatingDoc=I6adb6490b9bb11eeaece92e459f12ff5&amp;refType=RP&amp;fi=co_pp_sp_506_925&amp;originationContext=document&amp;vr=3.0&amp;rs=cblt1.0&amp;transitionType=DocumentItem&amp;contextData=(sc.Keycite)" TargetMode="External"/><Relationship Id="rId47" Type="http://schemas.openxmlformats.org/officeDocument/2006/relationships/hyperlink" Target="https://www.westlaw.com/Link/Document/FullText?findType=Y&amp;serNum=2054338271&amp;pubNum=0008173&amp;originatingDoc=I6adb6490b9bb11eeaece92e459f12ff5&amp;refType=RP&amp;fi=co_pp_sp_8173_972&amp;originationContext=document&amp;vr=3.0&amp;rs=cblt1.0&amp;transitionType=DocumentItem&amp;contextData=(sc.Keycite)" TargetMode="External"/><Relationship Id="rId50" Type="http://schemas.openxmlformats.org/officeDocument/2006/relationships/hyperlink" Target="https://www.westlaw.com/Link/Document/FullText?findType=Y&amp;serNum=2051692051&amp;pubNum=0000506&amp;originatingDoc=I6adb6490b9bb11eeaece92e459f12ff5&amp;refType=RP&amp;fi=co_pp_sp_506_792&amp;originationContext=document&amp;vr=3.0&amp;rs=cblt1.0&amp;transitionType=DocumentItem&amp;contextData=(sc.Keycite)" TargetMode="External"/><Relationship Id="rId55" Type="http://schemas.openxmlformats.org/officeDocument/2006/relationships/header" Target="header1.xml"/><Relationship Id="rId7" Type="http://schemas.openxmlformats.org/officeDocument/2006/relationships/hyperlink" Target="https://www.westlaw.com/Document/I3a6dff40940511f09305ff317027791a/View/FullText.html?navigationPath=RelatedInfo%2Fv4%2Fkeycite%2Fnav%2F%3ForigDocGuid%3DI6adb6490b9bb11eeaece92e459f12ff5&amp;listSource=RelatedInfo&amp;list=NegativeCitingReferences&amp;rank=0&amp;ppcid=98cc0ad1c1e140eea9806ce89d0a3844&amp;originationContext=docHeader&amp;transitionType=NegativeTreatment&amp;contextData=%28sc.Keycite%29&amp;VR=3.0&amp;RS=cblt1.0" TargetMode="External"/><Relationship Id="rId2" Type="http://schemas.openxmlformats.org/officeDocument/2006/relationships/settings" Target="settings.xml"/><Relationship Id="rId16" Type="http://schemas.openxmlformats.org/officeDocument/2006/relationships/hyperlink" Target="https://www.westlaw.com/Link/Document/FullText?findType=Y&amp;serNum=2021757355&amp;pubNum=0000506&amp;originatingDoc=I6adb6490b9bb11eeaece92e459f12ff5&amp;refType=RP&amp;fi=co_pp_sp_506_853&amp;originationContext=document&amp;vr=3.0&amp;rs=cblt1.0&amp;transitionType=DocumentItem&amp;contextData=(sc.Keycite)" TargetMode="External"/><Relationship Id="rId29" Type="http://schemas.openxmlformats.org/officeDocument/2006/relationships/hyperlink" Target="https://www.westlaw.com/Link/Document/FullText?findType=Y&amp;serNum=2033456177&amp;pubNum=0000780&amp;originatingDoc=I6adb6490b9bb11eeaece92e459f12ff5&amp;refType=RP&amp;fi=co_pp_sp_780_778&amp;originationContext=document&amp;vr=3.0&amp;rs=cblt1.0&amp;transitionType=DocumentItem&amp;contextData=(sc.Keycite)" TargetMode="External"/><Relationship Id="rId11" Type="http://schemas.openxmlformats.org/officeDocument/2006/relationships/hyperlink" Target="https://www.westlaw.com/Link/Document/FullText?entityType=disease&amp;entityId=Ib3c4b6bc475411db9765f9243f53508a&amp;originationContext=document&amp;transitionType=DocumentItem&amp;contextData=(sc.Default)&amp;vr=3.0&amp;rs=cblt1.0" TargetMode="External"/><Relationship Id="rId24" Type="http://schemas.openxmlformats.org/officeDocument/2006/relationships/hyperlink" Target="https://www.westlaw.com/Link/Document/FullText?findType=Y&amp;serNum=2017919146&amp;pubNum=0000780&amp;originatingDoc=I6adb6490b9bb11eeaece92e459f12ff5&amp;refType=RP&amp;fi=co_pp_sp_780_236&amp;originationContext=document&amp;vr=3.0&amp;rs=cblt1.0&amp;transitionType=DocumentItem&amp;contextData=(sc.Keycite)" TargetMode="External"/><Relationship Id="rId32" Type="http://schemas.openxmlformats.org/officeDocument/2006/relationships/hyperlink" Target="https://www.westlaw.com/Link/Document/FullText?findType=Y&amp;serNum=2056822169&amp;pubNum=0000999&amp;originatingDoc=I6adb6490b9bb11eeaece92e459f12ff5&amp;refType=RP&amp;fi=co_pp_sp_999_4&amp;originationContext=document&amp;vr=3.0&amp;rs=cblt1.0&amp;transitionType=DocumentItem&amp;contextData=(sc.Keycite)" TargetMode="External"/><Relationship Id="rId37" Type="http://schemas.openxmlformats.org/officeDocument/2006/relationships/hyperlink" Target="https://www.westlaw.com/Link/Document/FullText?findType=Y&amp;serNum=2001535372&amp;pubNum=0000506&amp;originatingDoc=I6adb6490b9bb11eeaece92e459f12ff5&amp;refType=RP&amp;fi=co_pp_sp_506_1129&amp;originationContext=document&amp;vr=3.0&amp;rs=cblt1.0&amp;transitionType=DocumentItem&amp;contextData=(sc.Keycite)" TargetMode="External"/><Relationship Id="rId40" Type="http://schemas.openxmlformats.org/officeDocument/2006/relationships/hyperlink" Target="https://www.westlaw.com/Link/Document/FullText?findType=Y&amp;serNum=2025407572&amp;pubNum=0000506&amp;originatingDoc=I6adb6490b9bb11eeaece92e459f12ff5&amp;refType=RP&amp;fi=co_pp_sp_506_906&amp;originationContext=document&amp;vr=3.0&amp;rs=cblt1.0&amp;transitionType=DocumentItem&amp;contextData=(sc.Keycite)" TargetMode="External"/><Relationship Id="rId45" Type="http://schemas.openxmlformats.org/officeDocument/2006/relationships/hyperlink" Target="https://www.westlaw.com/Link/Document/FullText?findType=Y&amp;serNum=1989029971&amp;pubNum=0000780&amp;originatingDoc=I6adb6490b9bb11eeaece92e459f12ff5&amp;refType=RP&amp;fi=co_pp_sp_780_385&amp;originationContext=document&amp;vr=3.0&amp;rs=cblt1.0&amp;transitionType=DocumentItem&amp;contextData=(sc.Keycite)" TargetMode="External"/><Relationship Id="rId53" Type="http://schemas.openxmlformats.org/officeDocument/2006/relationships/hyperlink" Target="https://www.westlaw.com/Link/Document/FullText?findType=Y&amp;serNum=1994142002&amp;pubNum=0000595&amp;originatingDoc=I6adb6490b9bb11eeaece92e459f12ff5&amp;refType=RP&amp;fi=co_pp_sp_595_571&amp;originationContext=document&amp;vr=3.0&amp;rs=cblt1.0&amp;transitionType=DocumentItem&amp;contextData=(sc.Keycite)" TargetMode="Externa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https://www.westlaw.com/Link/Document/FullText?findType=Y&amp;serNum=2018848474&amp;pubNum=0000780&amp;originatingDoc=I6adb6490b9bb11eeaece92e459f12ff5&amp;refType=RP&amp;fi=co_pp_sp_780_678&amp;originationContext=document&amp;vr=3.0&amp;rs=cblt1.0&amp;transitionType=DocumentItem&amp;contextData=(sc.Keycite)" TargetMode="External"/><Relationship Id="rId4" Type="http://schemas.openxmlformats.org/officeDocument/2006/relationships/footnotes" Target="footnotes.xml"/><Relationship Id="rId9" Type="http://schemas.openxmlformats.org/officeDocument/2006/relationships/hyperlink" Target="https://www.westlaw.com/Search/Results.html?query=advanced%3a+WCAID(I364ED9F0E24D11DE8F3EDEB508D16106)&amp;saveJuris=False&amp;contentType=BUSINESS-INVESTIGATOR&amp;startIndex=1&amp;contextData=(sc.Default)&amp;categoryPageUrl=Home%2fCompanyInvestigator&amp;originationContext=document&amp;vr=3.0&amp;rs=cblt1.0&amp;transitionType=DocumentItem" TargetMode="External"/><Relationship Id="rId14" Type="http://schemas.openxmlformats.org/officeDocument/2006/relationships/hyperlink" Target="https://www.westlaw.com/Link/Document/FullText?findType=L&amp;pubNum=1000600&amp;cite=USFRCPR12&amp;originatingDoc=I6adb6490b9bb11eeaece92e459f12ff5&amp;refType=LQ&amp;originationContext=document&amp;vr=3.0&amp;rs=cblt1.0&amp;transitionType=DocumentItem&amp;contextData=(sc.Keycite)" TargetMode="External"/><Relationship Id="rId22" Type="http://schemas.openxmlformats.org/officeDocument/2006/relationships/hyperlink" Target="https://www.westlaw.com/Link/Document/FullText?findType=Y&amp;serNum=2045251844&amp;pubNum=0000506&amp;originatingDoc=I6adb6490b9bb11eeaece92e459f12ff5&amp;refType=RP&amp;fi=co_pp_sp_506_627&amp;originationContext=document&amp;vr=3.0&amp;rs=cblt1.0&amp;transitionType=DocumentItem&amp;contextData=(sc.Keycite)" TargetMode="External"/><Relationship Id="rId27" Type="http://schemas.openxmlformats.org/officeDocument/2006/relationships/hyperlink" Target="https://www.westlaw.com/Link/Document/FullText?findType=Y&amp;serNum=2017919146&amp;pubNum=0000780&amp;originatingDoc=I6adb6490b9bb11eeaece92e459f12ff5&amp;refType=RP&amp;fi=co_pp_sp_780_244&amp;originationContext=document&amp;vr=3.0&amp;rs=cblt1.0&amp;transitionType=DocumentItem&amp;contextData=(sc.Keycite)" TargetMode="External"/><Relationship Id="rId30" Type="http://schemas.openxmlformats.org/officeDocument/2006/relationships/hyperlink" Target="https://www.westlaw.com/Link/Document/FullText?findType=Y&amp;serNum=2040717314&amp;pubNum=0000780&amp;originatingDoc=I6adb6490b9bb11eeaece92e459f12ff5&amp;refType=RP&amp;fi=co_pp_sp_780_79&amp;originationContext=document&amp;vr=3.0&amp;rs=cblt1.0&amp;transitionType=DocumentItem&amp;contextData=(sc.Keycite)" TargetMode="External"/><Relationship Id="rId35" Type="http://schemas.openxmlformats.org/officeDocument/2006/relationships/hyperlink" Target="https://www.westlaw.com/Link/Document/FullText?findType=Y&amp;serNum=2002399101&amp;pubNum=0000780&amp;originatingDoc=I6adb6490b9bb11eeaece92e459f12ff5&amp;refType=RP&amp;fi=co_pp_sp_780_739&amp;originationContext=document&amp;vr=3.0&amp;rs=cblt1.0&amp;transitionType=DocumentItem&amp;contextData=(sc.Keycite)" TargetMode="External"/><Relationship Id="rId43" Type="http://schemas.openxmlformats.org/officeDocument/2006/relationships/hyperlink" Target="https://www.westlaw.com/Link/Document/FullText?findType=Y&amp;serNum=1978114250&amp;pubNum=0000780&amp;originatingDoc=I6adb6490b9bb11eeaece92e459f12ff5&amp;refType=RP&amp;fi=co_pp_sp_780_690&amp;originationContext=document&amp;vr=3.0&amp;rs=cblt1.0&amp;transitionType=DocumentItem&amp;contextData=(sc.Keycite)" TargetMode="External"/><Relationship Id="rId48" Type="http://schemas.openxmlformats.org/officeDocument/2006/relationships/hyperlink" Target="https://www.westlaw.com/Link/Document/FullText?findType=Y&amp;serNum=2039393021&amp;pubNum=0000506&amp;originatingDoc=I6adb6490b9bb11eeaece92e459f12ff5&amp;refType=RP&amp;fi=co_pp_sp_506_699&amp;originationContext=document&amp;vr=3.0&amp;rs=cblt1.0&amp;transitionType=DocumentItem&amp;contextData=(sc.Keycite)" TargetMode="External"/><Relationship Id="rId56" Type="http://schemas.openxmlformats.org/officeDocument/2006/relationships/header" Target="header2.xml"/><Relationship Id="rId8" Type="http://schemas.openxmlformats.org/officeDocument/2006/relationships/hyperlink" Target="https://www.westlaw.com/Search/Results.html?query=advanced%3a+WCAID(I686A90C0968211E9B028A5BF93654DC6)&amp;saveJuris=False&amp;contentType=BUSINESS-INVESTIGATOR&amp;startIndex=1&amp;contextData=(sc.Default)&amp;categoryPageUrl=Home%2fCompanyInvestigator&amp;originationContext=document&amp;vr=3.0&amp;rs=cblt1.0&amp;transitionType=DocumentItem" TargetMode="External"/><Relationship Id="rId51" Type="http://schemas.openxmlformats.org/officeDocument/2006/relationships/hyperlink" Target="https://www.westlaw.com/Link/Document/FullText?findType=Y&amp;serNum=1988059100&amp;pubNum=0000595&amp;originatingDoc=I6adb6490b9bb11eeaece92e459f12ff5&amp;refType=RP&amp;fi=co_pp_sp_595_677&amp;originationContext=document&amp;vr=3.0&amp;rs=cblt1.0&amp;transitionType=DocumentItem&amp;contextData=(sc.Keycite)" TargetMode="External"/><Relationship Id="rId3" Type="http://schemas.openxmlformats.org/officeDocument/2006/relationships/webSettings" Target="webSettings.xml"/><Relationship Id="rId12"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17" Type="http://schemas.openxmlformats.org/officeDocument/2006/relationships/hyperlink" Target="https://www.westlaw.com/Link/Document/FullText?findType=Y&amp;serNum=2012293296&amp;pubNum=0000780&amp;originatingDoc=I6adb6490b9bb11eeaece92e459f12ff5&amp;refType=RP&amp;fi=co_pp_sp_780_555&amp;originationContext=document&amp;vr=3.0&amp;rs=cblt1.0&amp;transitionType=DocumentItem&amp;contextData=(sc.Keycite)" TargetMode="External"/><Relationship Id="rId25" Type="http://schemas.openxmlformats.org/officeDocument/2006/relationships/hyperlink" Target="https://www.westlaw.com/Link/Document/FullText?findType=Y&amp;serNum=2027179146&amp;pubNum=0000780&amp;originatingDoc=I6adb6490b9bb11eeaece92e459f12ff5&amp;refType=RP&amp;fi=co_pp_sp_780_546&amp;originationContext=document&amp;vr=3.0&amp;rs=cblt1.0&amp;transitionType=DocumentItem&amp;contextData=(sc.Keycite)" TargetMode="External"/><Relationship Id="rId33" Type="http://schemas.openxmlformats.org/officeDocument/2006/relationships/hyperlink" Target="https://www.westlaw.com/Link/Document/FullText?findType=Y&amp;serNum=2002052309&amp;pubNum=0000506&amp;originatingDoc=I6adb6490b9bb11eeaece92e459f12ff5&amp;refType=RP&amp;fi=co_pp_sp_506_1128&amp;originationContext=document&amp;vr=3.0&amp;rs=cblt1.0&amp;transitionType=DocumentItem&amp;contextData=(sc.Keycite)" TargetMode="External"/><Relationship Id="rId38" Type="http://schemas.openxmlformats.org/officeDocument/2006/relationships/hyperlink" Target="https://www.westlaw.com/Link/Document/FullText?findType=Y&amp;serNum=2029807417&amp;pubNum=0000506&amp;originatingDoc=I6adb6490b9bb11eeaece92e459f12ff5&amp;refType=RP&amp;fi=co_pp_sp_506_1212&amp;originationContext=document&amp;vr=3.0&amp;rs=cblt1.0&amp;transitionType=DocumentItem&amp;contextData=(sc.Keycite)" TargetMode="External"/><Relationship Id="rId46"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59" Type="http://schemas.openxmlformats.org/officeDocument/2006/relationships/fontTable" Target="fontTable.xml"/><Relationship Id="rId20"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41"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54" Type="http://schemas.openxmlformats.org/officeDocument/2006/relationships/hyperlink" Target="https://www.westlaw.com/Link/Document/FullText?findType=Y&amp;serNum=2012575233&amp;pubNum=0000506&amp;originatingDoc=I6adb6490b9bb11eeaece92e459f12ff5&amp;refType=RP&amp;fi=co_pp_sp_506_1056&amp;originationContext=document&amp;vr=3.0&amp;rs=cblt1.0&amp;transitionType=DocumentItem&amp;contextData=(sc.Keycite)"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westlaw.com/Link/Document/FullText?findType=Y&amp;serNum=2018848474&amp;pubNum=0000780&amp;originatingDoc=I6adb6490b9bb11eeaece92e459f12ff5&amp;refType=RP&amp;fi=co_pp_sp_780_678&amp;originationContext=document&amp;vr=3.0&amp;rs=cblt1.0&amp;transitionType=DocumentItem&amp;contextData=(sc.Keycite)" TargetMode="External"/><Relationship Id="rId23" Type="http://schemas.openxmlformats.org/officeDocument/2006/relationships/hyperlink" Target="https://www.westlaw.com/Link/Document/FullText?findType=Y&amp;serNum=2071277143&amp;pubNum=0008173&amp;originatingDoc=I6adb6490b9bb11eeaece92e459f12ff5&amp;refType=RP&amp;fi=co_pp_sp_8173_1004&amp;originationContext=document&amp;vr=3.0&amp;rs=cblt1.0&amp;transitionType=DocumentItem&amp;contextData=(sc.Keycite)" TargetMode="External"/><Relationship Id="rId28" Type="http://schemas.openxmlformats.org/officeDocument/2006/relationships/hyperlink" Target="https://www.westlaw.com/Link/Document/FullText?findType=Y&amp;serNum=1999127186&amp;pubNum=0000780&amp;originatingDoc=I6adb6490b9bb11eeaece92e459f12ff5&amp;refType=RP&amp;fi=co_pp_sp_780_614&amp;originationContext=document&amp;vr=3.0&amp;rs=cblt1.0&amp;transitionType=DocumentItem&amp;contextData=(sc.Keycite)" TargetMode="External"/><Relationship Id="rId36" Type="http://schemas.openxmlformats.org/officeDocument/2006/relationships/hyperlink" Target="https://www.westlaw.com/Link/Document/FullText?findType=Y&amp;serNum=2001518729&amp;pubNum=0000780&amp;originatingDoc=I6adb6490b9bb11eeaece92e459f12ff5&amp;refType=RP&amp;fi=co_pp_sp_780_206&amp;originationContext=document&amp;vr=3.0&amp;rs=cblt1.0&amp;transitionType=DocumentItem&amp;contextData=(sc.Keycite)" TargetMode="External"/><Relationship Id="rId49" Type="http://schemas.openxmlformats.org/officeDocument/2006/relationships/hyperlink" Target="https://www.westlaw.com/Link/Document/FullText?findType=L&amp;pubNum=1000546&amp;cite=42USCAS1983&amp;originatingDoc=I6adb6490b9bb11eeaece92e459f12ff5&amp;refType=LQ&amp;originationContext=document&amp;vr=3.0&amp;rs=cblt1.0&amp;transitionType=DocumentItem&amp;contextData=(sc.Keycite)" TargetMode="External"/><Relationship Id="rId57" Type="http://schemas.openxmlformats.org/officeDocument/2006/relationships/footer" Target="footer1.xml"/><Relationship Id="rId10" Type="http://schemas.openxmlformats.org/officeDocument/2006/relationships/hyperlink" Target="https://www.westlaw.com/Link/Document/FullText?findType=h&amp;pubNum=176284&amp;cite=0415582101&amp;originatingDoc=I6adb6490b9bb11eeaece92e459f12ff5&amp;refType=RQ&amp;originationContext=document&amp;vr=3.0&amp;rs=cblt1.0&amp;transitionType=DocumentItem&amp;contextData=(sc.Keycite)" TargetMode="External"/><Relationship Id="rId31" Type="http://schemas.openxmlformats.org/officeDocument/2006/relationships/hyperlink" Target="https://www.westlaw.com/Link/Document/FullText?findType=Y&amp;serNum=2053290087&amp;pubNum=0000506&amp;originatingDoc=I6adb6490b9bb11eeaece92e459f12ff5&amp;refType=RP&amp;fi=co_pp_sp_506_980&amp;originationContext=document&amp;vr=3.0&amp;rs=cblt1.0&amp;transitionType=DocumentItem&amp;contextData=(sc.Keycite)" TargetMode="External"/><Relationship Id="rId44" Type="http://schemas.openxmlformats.org/officeDocument/2006/relationships/hyperlink" Target="https://www.westlaw.com/Link/Document/FullText?findType=Y&amp;serNum=2047483445&amp;pubNum=0000506&amp;originatingDoc=I6adb6490b9bb11eeaece92e459f12ff5&amp;refType=RP&amp;fi=co_pp_sp_506_520&amp;originationContext=document&amp;vr=3.0&amp;rs=cblt1.0&amp;transitionType=DocumentItem&amp;contextData=(sc.Keycite)" TargetMode="External"/><Relationship Id="rId52" Type="http://schemas.openxmlformats.org/officeDocument/2006/relationships/hyperlink" Target="https://www.westlaw.com/Link/Document/FullText?findType=Y&amp;serNum=1993127133&amp;pubNum=0000595&amp;originatingDoc=I6adb6490b9bb11eeaece92e459f12ff5&amp;refType=RP&amp;fi=co_pp_sp_595_77&amp;originationContext=document&amp;vr=3.0&amp;rs=cblt1.0&amp;transitionType=DocumentItem&amp;contextData=(sc.Keycite)"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4462</Words>
  <Characters>25434</Characters>
  <Application>Microsoft Office Word</Application>
  <DocSecurity>0</DocSecurity>
  <Lines>211</Lines>
  <Paragraphs>59</Paragraphs>
  <ScaleCrop>false</ScaleCrop>
  <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Brave</cp:lastModifiedBy>
  <cp:revision>2</cp:revision>
  <dcterms:created xsi:type="dcterms:W3CDTF">2025-09-18T14:02:00Z</dcterms:created>
  <dcterms:modified xsi:type="dcterms:W3CDTF">2025-09-18T14:02:00Z</dcterms:modified>
</cp:coreProperties>
</file>