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6492D" w14:textId="76323D41" w:rsidR="000E117C" w:rsidRDefault="000E117C" w:rsidP="00480205">
      <w:pPr>
        <w:jc w:val="center"/>
        <w:rPr>
          <w:b/>
          <w:bCs/>
        </w:rPr>
      </w:pPr>
      <w:r>
        <w:rPr>
          <w:b/>
          <w:bCs/>
          <w:sz w:val="28"/>
          <w:szCs w:val="28"/>
        </w:rPr>
        <w:t xml:space="preserve">Court’s </w:t>
      </w:r>
      <w:r w:rsidRPr="00690138">
        <w:rPr>
          <w:b/>
          <w:bCs/>
          <w:sz w:val="28"/>
          <w:szCs w:val="28"/>
        </w:rPr>
        <w:t>Case Decision Potential Considerations Notes</w:t>
      </w:r>
    </w:p>
    <w:p w14:paraId="56B2CBA2" w14:textId="6DCCE3AE" w:rsidR="00480205" w:rsidRPr="000E117C" w:rsidRDefault="00480205" w:rsidP="00480205">
      <w:pPr>
        <w:jc w:val="center"/>
        <w:rPr>
          <w:sz w:val="20"/>
          <w:szCs w:val="20"/>
        </w:rPr>
      </w:pPr>
      <w:r w:rsidRPr="000E117C">
        <w:rPr>
          <w:sz w:val="20"/>
          <w:szCs w:val="20"/>
        </w:rPr>
        <w:t>[Michael Brave, LAAW International, LLC</w:t>
      </w:r>
      <w:r w:rsidR="000E117C">
        <w:rPr>
          <w:sz w:val="20"/>
          <w:szCs w:val="20"/>
        </w:rPr>
        <w:t>. A.R.R</w:t>
      </w:r>
      <w:r w:rsidRPr="000E117C">
        <w:rPr>
          <w:sz w:val="20"/>
          <w:szCs w:val="20"/>
        </w:rPr>
        <w:t>]</w:t>
      </w:r>
    </w:p>
    <w:p w14:paraId="1CC91EA3" w14:textId="6DB86CDA" w:rsidR="000E117C" w:rsidRPr="000E117C" w:rsidRDefault="000E117C" w:rsidP="00480205">
      <w:pPr>
        <w:jc w:val="center"/>
        <w:rPr>
          <w:sz w:val="20"/>
          <w:szCs w:val="20"/>
        </w:rPr>
      </w:pPr>
      <w:r w:rsidRPr="000E117C">
        <w:rPr>
          <w:sz w:val="20"/>
          <w:szCs w:val="20"/>
        </w:rPr>
        <w:t>[Any access, reading, and/or use of this document or information, in any way, is complete acceptance of full and complete disclaimers, immunity, shielding, including that nothing is legal advice of any kind.]</w:t>
      </w:r>
    </w:p>
    <w:p w14:paraId="6F9BDE43" w14:textId="77777777" w:rsidR="004A71A4" w:rsidRDefault="004A71A4" w:rsidP="004A71A4">
      <w:pPr>
        <w:jc w:val="center"/>
      </w:pPr>
      <w:r w:rsidRPr="00C71DA0">
        <w:rPr>
          <w:sz w:val="20"/>
          <w:szCs w:val="20"/>
        </w:rPr>
        <w:t>[</w:t>
      </w:r>
      <w:r w:rsidRPr="00C71DA0">
        <w:rPr>
          <w:sz w:val="20"/>
          <w:szCs w:val="20"/>
          <w:highlight w:val="yellow"/>
        </w:rPr>
        <w:t>Highlighting</w:t>
      </w:r>
      <w:r w:rsidRPr="00C71DA0">
        <w:rPr>
          <w:sz w:val="20"/>
          <w:szCs w:val="20"/>
        </w:rPr>
        <w:t xml:space="preserve"> and </w:t>
      </w:r>
      <w:r w:rsidRPr="00C71DA0">
        <w:rPr>
          <w:b/>
          <w:bCs/>
          <w:sz w:val="20"/>
          <w:szCs w:val="20"/>
        </w:rPr>
        <w:t>bolding</w:t>
      </w:r>
      <w:r w:rsidRPr="00C71DA0">
        <w:rPr>
          <w:sz w:val="20"/>
          <w:szCs w:val="20"/>
        </w:rPr>
        <w:t xml:space="preserve"> emphasis added.]</w:t>
      </w:r>
    </w:p>
    <w:p w14:paraId="243AE8E9" w14:textId="77777777" w:rsidR="00480205" w:rsidRPr="00981DA5" w:rsidRDefault="00480205" w:rsidP="00480205">
      <w:pPr>
        <w:rPr>
          <w:sz w:val="12"/>
          <w:szCs w:val="12"/>
        </w:rPr>
      </w:pPr>
    </w:p>
    <w:p w14:paraId="1554C54D" w14:textId="6CF1508B" w:rsidR="00FD2473" w:rsidRPr="005C1A5B" w:rsidRDefault="001F58A7" w:rsidP="001F58A7">
      <w:pPr>
        <w:rPr>
          <w:sz w:val="28"/>
          <w:szCs w:val="28"/>
        </w:rPr>
      </w:pPr>
      <w:r w:rsidRPr="005C1A5B">
        <w:rPr>
          <w:b/>
          <w:bCs/>
          <w:i/>
          <w:iCs/>
          <w:sz w:val="28"/>
          <w:szCs w:val="28"/>
        </w:rPr>
        <w:t>Locke v. Cnty. of Hubbard</w:t>
      </w:r>
      <w:r w:rsidRPr="005C1A5B">
        <w:rPr>
          <w:b/>
          <w:bCs/>
          <w:sz w:val="28"/>
          <w:szCs w:val="28"/>
        </w:rPr>
        <w:t>, No. 24-1285, --- F.4th ---, 2025 WL 2657200 (8th Cir. [D.MN] Sept. 17, 2025)</w:t>
      </w:r>
    </w:p>
    <w:p w14:paraId="4A21FB6F" w14:textId="77777777" w:rsidR="00D306B5" w:rsidRPr="000B5851" w:rsidRDefault="00D306B5" w:rsidP="001F58A7">
      <w:pPr>
        <w:rPr>
          <w:sz w:val="12"/>
          <w:szCs w:val="12"/>
        </w:rPr>
      </w:pPr>
    </w:p>
    <w:p w14:paraId="2B7F67D6" w14:textId="77777777" w:rsidR="000B5851" w:rsidRPr="000B5851" w:rsidRDefault="000B5851" w:rsidP="000B5851">
      <w:pPr>
        <w:spacing w:after="40"/>
      </w:pPr>
      <w:r w:rsidRPr="000B5851">
        <w:t xml:space="preserve">According to the document, Matthew Locke </w:t>
      </w:r>
      <w:r w:rsidRPr="003547A0">
        <w:rPr>
          <w:highlight w:val="yellow"/>
        </w:rPr>
        <w:t>sustained the following injuries</w:t>
      </w:r>
      <w:r w:rsidRPr="000B5851">
        <w:t>:</w:t>
      </w:r>
    </w:p>
    <w:p w14:paraId="51BF352A" w14:textId="77777777" w:rsidR="000B5851" w:rsidRPr="000B5851" w:rsidRDefault="000B5851" w:rsidP="000B5851">
      <w:pPr>
        <w:numPr>
          <w:ilvl w:val="0"/>
          <w:numId w:val="93"/>
        </w:numPr>
        <w:spacing w:after="40"/>
        <w:ind w:left="360" w:hanging="216"/>
      </w:pPr>
      <w:r w:rsidRPr="000B5851">
        <w:rPr>
          <w:b/>
          <w:bCs/>
        </w:rPr>
        <w:t>Facial Paralysis (Bell's Palsy)</w:t>
      </w:r>
      <w:r w:rsidRPr="000B5851">
        <w:t xml:space="preserve"> ​</w:t>
      </w:r>
    </w:p>
    <w:p w14:paraId="2F675D7B" w14:textId="77777777" w:rsidR="000B5851" w:rsidRPr="000B5851" w:rsidRDefault="000B5851" w:rsidP="000B5851">
      <w:pPr>
        <w:numPr>
          <w:ilvl w:val="1"/>
          <w:numId w:val="93"/>
        </w:numPr>
        <w:spacing w:after="40"/>
        <w:ind w:left="576" w:hanging="216"/>
      </w:pPr>
      <w:r w:rsidRPr="000B5851">
        <w:t>Locke could no longer move the right side of his face "in a normal manner." ​</w:t>
      </w:r>
    </w:p>
    <w:p w14:paraId="2B7A0DA1" w14:textId="77777777" w:rsidR="000B5851" w:rsidRPr="000B5851" w:rsidRDefault="000B5851" w:rsidP="000B5851">
      <w:pPr>
        <w:numPr>
          <w:ilvl w:val="0"/>
          <w:numId w:val="93"/>
        </w:numPr>
        <w:spacing w:after="40"/>
        <w:ind w:left="360" w:hanging="216"/>
      </w:pPr>
      <w:r w:rsidRPr="000B5851">
        <w:rPr>
          <w:b/>
          <w:bCs/>
        </w:rPr>
        <w:t>Tinnitus</w:t>
      </w:r>
    </w:p>
    <w:p w14:paraId="04699A15" w14:textId="77777777" w:rsidR="000B5851" w:rsidRPr="000B5851" w:rsidRDefault="000B5851" w:rsidP="000B5851">
      <w:pPr>
        <w:numPr>
          <w:ilvl w:val="1"/>
          <w:numId w:val="93"/>
        </w:numPr>
        <w:spacing w:after="40"/>
        <w:ind w:left="576" w:hanging="216"/>
      </w:pPr>
      <w:r w:rsidRPr="000B5851">
        <w:t>Persistent ringing or noise in the ears. ​</w:t>
      </w:r>
    </w:p>
    <w:p w14:paraId="6248BAC5" w14:textId="77777777" w:rsidR="000B5851" w:rsidRPr="000B5851" w:rsidRDefault="000B5851" w:rsidP="000B5851">
      <w:pPr>
        <w:numPr>
          <w:ilvl w:val="0"/>
          <w:numId w:val="93"/>
        </w:numPr>
        <w:spacing w:after="40"/>
        <w:ind w:left="360" w:hanging="216"/>
      </w:pPr>
      <w:r w:rsidRPr="000B5851">
        <w:rPr>
          <w:b/>
          <w:bCs/>
        </w:rPr>
        <w:t>Emotional Distress</w:t>
      </w:r>
    </w:p>
    <w:p w14:paraId="1B31F8AD" w14:textId="77777777" w:rsidR="000B5851" w:rsidRPr="000B5851" w:rsidRDefault="000B5851" w:rsidP="000B5851">
      <w:pPr>
        <w:numPr>
          <w:ilvl w:val="1"/>
          <w:numId w:val="93"/>
        </w:numPr>
        <w:spacing w:after="40"/>
        <w:ind w:left="576" w:hanging="216"/>
      </w:pPr>
      <w:r w:rsidRPr="000B5851">
        <w:t>Psychological harm resulting from the incident. ​</w:t>
      </w:r>
    </w:p>
    <w:p w14:paraId="671DC7E8" w14:textId="77777777" w:rsidR="000B5851" w:rsidRPr="000B5851" w:rsidRDefault="000B5851" w:rsidP="000B5851">
      <w:r w:rsidRPr="000B5851">
        <w:t>These injuries were allegedly caused by the officers' use of multiple pressure-point pain compliance techniques during his arrest. ​</w:t>
      </w:r>
    </w:p>
    <w:p w14:paraId="67A873FA" w14:textId="77777777" w:rsidR="000B5851" w:rsidRDefault="000B5851" w:rsidP="001F58A7"/>
    <w:p w14:paraId="2CE0A4EF" w14:textId="5DA9AEBF" w:rsidR="00D306B5" w:rsidRPr="00D306B5" w:rsidRDefault="00D306B5" w:rsidP="00D306B5">
      <w:pPr>
        <w:spacing w:after="60"/>
      </w:pPr>
      <w:r w:rsidRPr="00D306B5">
        <w:rPr>
          <w:b/>
          <w:bCs/>
        </w:rPr>
        <w:t xml:space="preserve">Table of Force Techniques </w:t>
      </w:r>
      <w:r w:rsidR="00E00707">
        <w:rPr>
          <w:b/>
          <w:bCs/>
        </w:rPr>
        <w:t xml:space="preserve">Allegedly Used </w:t>
      </w:r>
      <w:r w:rsidRPr="00D306B5">
        <w:rPr>
          <w:b/>
          <w:bCs/>
        </w:rPr>
        <w:t>and Alleged Injuries</w:t>
      </w:r>
    </w:p>
    <w:tbl>
      <w:tblPr>
        <w:tblW w:w="0" w:type="auto"/>
        <w:tblCellSpacing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firstRow="1" w:lastRow="0" w:firstColumn="1" w:lastColumn="0" w:noHBand="0" w:noVBand="1"/>
      </w:tblPr>
      <w:tblGrid>
        <w:gridCol w:w="450"/>
        <w:gridCol w:w="2160"/>
        <w:gridCol w:w="4225"/>
        <w:gridCol w:w="2515"/>
      </w:tblGrid>
      <w:tr w:rsidR="00D306B5" w:rsidRPr="00D306B5" w14:paraId="35351FA6" w14:textId="77777777" w:rsidTr="00D306B5">
        <w:trPr>
          <w:tblHeader/>
          <w:tblCellSpacing w:w="15" w:type="dxa"/>
        </w:trPr>
        <w:tc>
          <w:tcPr>
            <w:tcW w:w="405" w:type="dxa"/>
            <w:tcBorders>
              <w:bottom w:val="single" w:sz="18" w:space="0" w:color="000000" w:themeColor="text1"/>
            </w:tcBorders>
            <w:vAlign w:val="center"/>
          </w:tcPr>
          <w:p w14:paraId="56F4369A" w14:textId="4DCAE26C" w:rsidR="00D306B5" w:rsidRPr="00D306B5" w:rsidRDefault="00D306B5" w:rsidP="00E00707">
            <w:pPr>
              <w:spacing w:before="20" w:after="20"/>
              <w:ind w:left="43" w:right="43"/>
              <w:jc w:val="center"/>
              <w:rPr>
                <w:b/>
                <w:bCs/>
                <w:sz w:val="20"/>
                <w:szCs w:val="20"/>
              </w:rPr>
            </w:pPr>
            <w:r>
              <w:rPr>
                <w:b/>
                <w:bCs/>
                <w:sz w:val="20"/>
                <w:szCs w:val="20"/>
              </w:rPr>
              <w:t>#</w:t>
            </w:r>
          </w:p>
        </w:tc>
        <w:tc>
          <w:tcPr>
            <w:tcW w:w="2130" w:type="dxa"/>
            <w:tcBorders>
              <w:bottom w:val="single" w:sz="18" w:space="0" w:color="000000" w:themeColor="text1"/>
            </w:tcBorders>
            <w:vAlign w:val="center"/>
            <w:hideMark/>
          </w:tcPr>
          <w:p w14:paraId="41243CB7" w14:textId="103EDEC0" w:rsidR="00D306B5" w:rsidRPr="00D306B5" w:rsidRDefault="00D306B5" w:rsidP="00E00707">
            <w:pPr>
              <w:spacing w:before="20" w:after="20"/>
              <w:ind w:left="43" w:right="43"/>
              <w:rPr>
                <w:b/>
                <w:bCs/>
                <w:sz w:val="20"/>
                <w:szCs w:val="20"/>
              </w:rPr>
            </w:pPr>
            <w:r w:rsidRPr="00D306B5">
              <w:rPr>
                <w:b/>
                <w:bCs/>
                <w:sz w:val="20"/>
                <w:szCs w:val="20"/>
              </w:rPr>
              <w:t>Force Technique</w:t>
            </w:r>
          </w:p>
        </w:tc>
        <w:tc>
          <w:tcPr>
            <w:tcW w:w="4195" w:type="dxa"/>
            <w:tcBorders>
              <w:bottom w:val="single" w:sz="18" w:space="0" w:color="000000" w:themeColor="text1"/>
            </w:tcBorders>
            <w:vAlign w:val="center"/>
            <w:hideMark/>
          </w:tcPr>
          <w:p w14:paraId="263A14CB" w14:textId="77777777" w:rsidR="00D306B5" w:rsidRPr="00D306B5" w:rsidRDefault="00D306B5" w:rsidP="00E00707">
            <w:pPr>
              <w:spacing w:before="20" w:after="20"/>
              <w:ind w:left="43" w:right="43"/>
              <w:rPr>
                <w:b/>
                <w:bCs/>
                <w:sz w:val="20"/>
                <w:szCs w:val="20"/>
              </w:rPr>
            </w:pPr>
            <w:r w:rsidRPr="00D306B5">
              <w:rPr>
                <w:b/>
                <w:bCs/>
                <w:sz w:val="20"/>
                <w:szCs w:val="20"/>
              </w:rPr>
              <w:t>Description</w:t>
            </w:r>
          </w:p>
        </w:tc>
        <w:tc>
          <w:tcPr>
            <w:tcW w:w="2470" w:type="dxa"/>
            <w:tcBorders>
              <w:bottom w:val="single" w:sz="18" w:space="0" w:color="000000" w:themeColor="text1"/>
            </w:tcBorders>
            <w:vAlign w:val="center"/>
            <w:hideMark/>
          </w:tcPr>
          <w:p w14:paraId="1D3C8132" w14:textId="77777777" w:rsidR="00D306B5" w:rsidRPr="00D306B5" w:rsidRDefault="00D306B5" w:rsidP="00E00707">
            <w:pPr>
              <w:spacing w:before="20" w:after="20"/>
              <w:ind w:left="43" w:right="43"/>
              <w:rPr>
                <w:b/>
                <w:bCs/>
                <w:sz w:val="20"/>
                <w:szCs w:val="20"/>
              </w:rPr>
            </w:pPr>
            <w:r w:rsidRPr="00D306B5">
              <w:rPr>
                <w:b/>
                <w:bCs/>
                <w:sz w:val="20"/>
                <w:szCs w:val="20"/>
              </w:rPr>
              <w:t>Alleged Injuries</w:t>
            </w:r>
          </w:p>
        </w:tc>
      </w:tr>
      <w:tr w:rsidR="00D306B5" w:rsidRPr="00D306B5" w14:paraId="50A8375A" w14:textId="77777777" w:rsidTr="00D306B5">
        <w:trPr>
          <w:tblCellSpacing w:w="15" w:type="dxa"/>
        </w:trPr>
        <w:tc>
          <w:tcPr>
            <w:tcW w:w="405" w:type="dxa"/>
            <w:vAlign w:val="center"/>
          </w:tcPr>
          <w:p w14:paraId="2AA5F14D" w14:textId="7B5D3461" w:rsidR="00D306B5" w:rsidRPr="00D306B5" w:rsidRDefault="00D306B5" w:rsidP="00E00707">
            <w:pPr>
              <w:spacing w:before="20" w:after="20"/>
              <w:ind w:left="43" w:right="43"/>
              <w:jc w:val="center"/>
              <w:rPr>
                <w:b/>
                <w:bCs/>
                <w:sz w:val="20"/>
                <w:szCs w:val="20"/>
              </w:rPr>
            </w:pPr>
            <w:r>
              <w:rPr>
                <w:b/>
                <w:bCs/>
                <w:sz w:val="20"/>
                <w:szCs w:val="20"/>
              </w:rPr>
              <w:t>1</w:t>
            </w:r>
          </w:p>
        </w:tc>
        <w:tc>
          <w:tcPr>
            <w:tcW w:w="2130" w:type="dxa"/>
            <w:vAlign w:val="center"/>
            <w:hideMark/>
          </w:tcPr>
          <w:p w14:paraId="520BFDE4" w14:textId="71DF9D64" w:rsidR="00D306B5" w:rsidRPr="00D306B5" w:rsidRDefault="00D306B5" w:rsidP="00E00707">
            <w:pPr>
              <w:spacing w:before="20" w:after="20"/>
              <w:ind w:left="43" w:right="43"/>
              <w:rPr>
                <w:sz w:val="20"/>
                <w:szCs w:val="20"/>
              </w:rPr>
            </w:pPr>
            <w:r w:rsidRPr="00D306B5">
              <w:rPr>
                <w:b/>
                <w:bCs/>
                <w:sz w:val="20"/>
                <w:szCs w:val="20"/>
              </w:rPr>
              <w:t>Mandibular Angle Technique</w:t>
            </w:r>
            <w:r w:rsidRPr="00D306B5">
              <w:rPr>
                <w:sz w:val="20"/>
                <w:szCs w:val="20"/>
              </w:rPr>
              <w:t xml:space="preserve"> ​</w:t>
            </w:r>
          </w:p>
        </w:tc>
        <w:tc>
          <w:tcPr>
            <w:tcW w:w="4195" w:type="dxa"/>
            <w:vAlign w:val="center"/>
            <w:hideMark/>
          </w:tcPr>
          <w:p w14:paraId="311804D2" w14:textId="77777777" w:rsidR="00D306B5" w:rsidRPr="00D306B5" w:rsidRDefault="00D306B5" w:rsidP="00E00707">
            <w:pPr>
              <w:spacing w:before="20" w:after="20"/>
              <w:ind w:left="43" w:right="43"/>
              <w:rPr>
                <w:sz w:val="20"/>
                <w:szCs w:val="20"/>
              </w:rPr>
            </w:pPr>
            <w:r w:rsidRPr="00D306B5">
              <w:rPr>
                <w:sz w:val="20"/>
                <w:szCs w:val="20"/>
              </w:rPr>
              <w:t>Pressure applied to a pressure point behind the ear to cause incapacitating pain. ​</w:t>
            </w:r>
          </w:p>
        </w:tc>
        <w:tc>
          <w:tcPr>
            <w:tcW w:w="2470" w:type="dxa"/>
            <w:vAlign w:val="center"/>
            <w:hideMark/>
          </w:tcPr>
          <w:p w14:paraId="017DC2D6" w14:textId="77777777" w:rsidR="00D306B5" w:rsidRPr="00D306B5" w:rsidRDefault="00D306B5" w:rsidP="00E00707">
            <w:pPr>
              <w:spacing w:before="20" w:after="20"/>
              <w:ind w:left="43" w:right="43"/>
              <w:rPr>
                <w:sz w:val="20"/>
                <w:szCs w:val="20"/>
              </w:rPr>
            </w:pPr>
            <w:r w:rsidRPr="00D306B5">
              <w:rPr>
                <w:sz w:val="20"/>
                <w:szCs w:val="20"/>
              </w:rPr>
              <w:t>Excruciating pain; facial paralysis (Bell's Palsy). ​</w:t>
            </w:r>
          </w:p>
        </w:tc>
      </w:tr>
      <w:tr w:rsidR="00D306B5" w:rsidRPr="00D306B5" w14:paraId="1E3C66F2" w14:textId="77777777" w:rsidTr="00D306B5">
        <w:trPr>
          <w:tblCellSpacing w:w="15" w:type="dxa"/>
        </w:trPr>
        <w:tc>
          <w:tcPr>
            <w:tcW w:w="405" w:type="dxa"/>
            <w:vAlign w:val="center"/>
          </w:tcPr>
          <w:p w14:paraId="5E7B7E0C" w14:textId="41AF63B3" w:rsidR="00D306B5" w:rsidRPr="00D306B5" w:rsidRDefault="00D306B5" w:rsidP="00E00707">
            <w:pPr>
              <w:spacing w:before="20" w:after="20"/>
              <w:ind w:left="43" w:right="43"/>
              <w:jc w:val="center"/>
              <w:rPr>
                <w:b/>
                <w:bCs/>
                <w:sz w:val="20"/>
                <w:szCs w:val="20"/>
              </w:rPr>
            </w:pPr>
            <w:r>
              <w:rPr>
                <w:b/>
                <w:bCs/>
                <w:sz w:val="20"/>
                <w:szCs w:val="20"/>
              </w:rPr>
              <w:t>2</w:t>
            </w:r>
          </w:p>
        </w:tc>
        <w:tc>
          <w:tcPr>
            <w:tcW w:w="2130" w:type="dxa"/>
            <w:vAlign w:val="center"/>
            <w:hideMark/>
          </w:tcPr>
          <w:p w14:paraId="60604698" w14:textId="3B26E712" w:rsidR="00D306B5" w:rsidRPr="00D306B5" w:rsidRDefault="00D306B5" w:rsidP="00E00707">
            <w:pPr>
              <w:spacing w:before="20" w:after="20"/>
              <w:ind w:left="43" w:right="43"/>
              <w:rPr>
                <w:sz w:val="20"/>
                <w:szCs w:val="20"/>
              </w:rPr>
            </w:pPr>
            <w:r w:rsidRPr="00D306B5">
              <w:rPr>
                <w:b/>
                <w:bCs/>
                <w:sz w:val="20"/>
                <w:szCs w:val="20"/>
              </w:rPr>
              <w:t>Infra Orbital Technique</w:t>
            </w:r>
            <w:r w:rsidRPr="00D306B5">
              <w:rPr>
                <w:sz w:val="20"/>
                <w:szCs w:val="20"/>
              </w:rPr>
              <w:t xml:space="preserve"> ​</w:t>
            </w:r>
          </w:p>
        </w:tc>
        <w:tc>
          <w:tcPr>
            <w:tcW w:w="4195" w:type="dxa"/>
            <w:vAlign w:val="center"/>
            <w:hideMark/>
          </w:tcPr>
          <w:p w14:paraId="688124C9" w14:textId="77777777" w:rsidR="00D306B5" w:rsidRPr="00D306B5" w:rsidRDefault="00D306B5" w:rsidP="00E00707">
            <w:pPr>
              <w:spacing w:before="20" w:after="20"/>
              <w:ind w:left="43" w:right="43"/>
              <w:rPr>
                <w:sz w:val="20"/>
                <w:szCs w:val="20"/>
              </w:rPr>
            </w:pPr>
            <w:r w:rsidRPr="00D306B5">
              <w:rPr>
                <w:sz w:val="20"/>
                <w:szCs w:val="20"/>
              </w:rPr>
              <w:t>Pressure applied to the infra orbital nerve at the base of the nose. ​</w:t>
            </w:r>
          </w:p>
        </w:tc>
        <w:tc>
          <w:tcPr>
            <w:tcW w:w="2470" w:type="dxa"/>
            <w:vAlign w:val="center"/>
            <w:hideMark/>
          </w:tcPr>
          <w:p w14:paraId="3D6D1E9E" w14:textId="77777777" w:rsidR="00D306B5" w:rsidRPr="00D306B5" w:rsidRDefault="00D306B5" w:rsidP="00E00707">
            <w:pPr>
              <w:spacing w:before="20" w:after="20"/>
              <w:ind w:left="43" w:right="43"/>
              <w:rPr>
                <w:sz w:val="20"/>
                <w:szCs w:val="20"/>
              </w:rPr>
            </w:pPr>
            <w:r w:rsidRPr="00D306B5">
              <w:rPr>
                <w:sz w:val="20"/>
                <w:szCs w:val="20"/>
              </w:rPr>
              <w:t>Excruciating pain; facial paralysis (Bell's Palsy). ​</w:t>
            </w:r>
          </w:p>
        </w:tc>
      </w:tr>
      <w:tr w:rsidR="00D306B5" w:rsidRPr="00D306B5" w14:paraId="70F65D80" w14:textId="77777777" w:rsidTr="00D306B5">
        <w:trPr>
          <w:tblCellSpacing w:w="15" w:type="dxa"/>
        </w:trPr>
        <w:tc>
          <w:tcPr>
            <w:tcW w:w="405" w:type="dxa"/>
            <w:vAlign w:val="center"/>
          </w:tcPr>
          <w:p w14:paraId="78C1B54D" w14:textId="0090AA9D" w:rsidR="00D306B5" w:rsidRPr="00D306B5" w:rsidRDefault="00D306B5" w:rsidP="00E00707">
            <w:pPr>
              <w:spacing w:before="20" w:after="20"/>
              <w:ind w:left="43" w:right="43"/>
              <w:jc w:val="center"/>
              <w:rPr>
                <w:b/>
                <w:bCs/>
                <w:sz w:val="20"/>
                <w:szCs w:val="20"/>
              </w:rPr>
            </w:pPr>
            <w:r>
              <w:rPr>
                <w:b/>
                <w:bCs/>
                <w:sz w:val="20"/>
                <w:szCs w:val="20"/>
              </w:rPr>
              <w:t>3</w:t>
            </w:r>
          </w:p>
        </w:tc>
        <w:tc>
          <w:tcPr>
            <w:tcW w:w="2130" w:type="dxa"/>
            <w:vAlign w:val="center"/>
            <w:hideMark/>
          </w:tcPr>
          <w:p w14:paraId="0E4619B3" w14:textId="429F6A66" w:rsidR="00D306B5" w:rsidRPr="00D306B5" w:rsidRDefault="00D306B5" w:rsidP="00E00707">
            <w:pPr>
              <w:spacing w:before="20" w:after="20"/>
              <w:ind w:left="43" w:right="43"/>
              <w:rPr>
                <w:sz w:val="20"/>
                <w:szCs w:val="20"/>
              </w:rPr>
            </w:pPr>
            <w:r w:rsidRPr="00D306B5">
              <w:rPr>
                <w:b/>
                <w:bCs/>
                <w:sz w:val="20"/>
                <w:szCs w:val="20"/>
              </w:rPr>
              <w:t>Hypoglossal Nerve Pressure</w:t>
            </w:r>
            <w:r w:rsidRPr="00D306B5">
              <w:rPr>
                <w:sz w:val="20"/>
                <w:szCs w:val="20"/>
              </w:rPr>
              <w:t xml:space="preserve"> ​</w:t>
            </w:r>
          </w:p>
        </w:tc>
        <w:tc>
          <w:tcPr>
            <w:tcW w:w="4195" w:type="dxa"/>
            <w:vAlign w:val="center"/>
            <w:hideMark/>
          </w:tcPr>
          <w:p w14:paraId="32549BF4" w14:textId="77777777" w:rsidR="00D306B5" w:rsidRPr="00D306B5" w:rsidRDefault="00D306B5" w:rsidP="00E00707">
            <w:pPr>
              <w:spacing w:before="20" w:after="20"/>
              <w:ind w:left="43" w:right="43"/>
              <w:rPr>
                <w:sz w:val="20"/>
                <w:szCs w:val="20"/>
              </w:rPr>
            </w:pPr>
            <w:r w:rsidRPr="00D306B5">
              <w:rPr>
                <w:sz w:val="20"/>
                <w:szCs w:val="20"/>
              </w:rPr>
              <w:t>Pressure applied to the hypoglossal nerve in the neck. ​</w:t>
            </w:r>
          </w:p>
        </w:tc>
        <w:tc>
          <w:tcPr>
            <w:tcW w:w="2470" w:type="dxa"/>
            <w:vAlign w:val="center"/>
            <w:hideMark/>
          </w:tcPr>
          <w:p w14:paraId="72EFB4C2" w14:textId="77777777" w:rsidR="00D306B5" w:rsidRPr="00D306B5" w:rsidRDefault="00D306B5" w:rsidP="00E00707">
            <w:pPr>
              <w:spacing w:before="20" w:after="20"/>
              <w:ind w:left="43" w:right="43"/>
              <w:rPr>
                <w:sz w:val="20"/>
                <w:szCs w:val="20"/>
              </w:rPr>
            </w:pPr>
            <w:r w:rsidRPr="00D306B5">
              <w:rPr>
                <w:sz w:val="20"/>
                <w:szCs w:val="20"/>
              </w:rPr>
              <w:t>Excruciating pain; facial paralysis (Bell's Palsy). ​</w:t>
            </w:r>
          </w:p>
        </w:tc>
      </w:tr>
      <w:tr w:rsidR="00D306B5" w:rsidRPr="00D306B5" w14:paraId="3E8342DD" w14:textId="77777777" w:rsidTr="00D306B5">
        <w:trPr>
          <w:tblCellSpacing w:w="15" w:type="dxa"/>
        </w:trPr>
        <w:tc>
          <w:tcPr>
            <w:tcW w:w="405" w:type="dxa"/>
            <w:vAlign w:val="center"/>
          </w:tcPr>
          <w:p w14:paraId="72B3ABCD" w14:textId="48EE01AE" w:rsidR="00D306B5" w:rsidRPr="00D306B5" w:rsidRDefault="00D306B5" w:rsidP="00E00707">
            <w:pPr>
              <w:spacing w:before="20" w:after="20"/>
              <w:ind w:left="43" w:right="43"/>
              <w:jc w:val="center"/>
              <w:rPr>
                <w:b/>
                <w:bCs/>
                <w:sz w:val="20"/>
                <w:szCs w:val="20"/>
              </w:rPr>
            </w:pPr>
            <w:r>
              <w:rPr>
                <w:b/>
                <w:bCs/>
                <w:sz w:val="20"/>
                <w:szCs w:val="20"/>
              </w:rPr>
              <w:t>4</w:t>
            </w:r>
          </w:p>
        </w:tc>
        <w:tc>
          <w:tcPr>
            <w:tcW w:w="2130" w:type="dxa"/>
            <w:vAlign w:val="center"/>
            <w:hideMark/>
          </w:tcPr>
          <w:p w14:paraId="366DEE6A" w14:textId="3A553A8B" w:rsidR="00D306B5" w:rsidRPr="00D306B5" w:rsidRDefault="00D306B5" w:rsidP="00E00707">
            <w:pPr>
              <w:spacing w:before="20" w:after="20"/>
              <w:ind w:left="43" w:right="43"/>
              <w:rPr>
                <w:sz w:val="20"/>
                <w:szCs w:val="20"/>
              </w:rPr>
            </w:pPr>
            <w:r w:rsidRPr="00D306B5">
              <w:rPr>
                <w:b/>
                <w:bCs/>
                <w:sz w:val="20"/>
                <w:szCs w:val="20"/>
              </w:rPr>
              <w:t>Multiple Pain Compliance Techniques</w:t>
            </w:r>
            <w:r w:rsidRPr="00D306B5">
              <w:rPr>
                <w:sz w:val="20"/>
                <w:szCs w:val="20"/>
              </w:rPr>
              <w:t xml:space="preserve"> ​</w:t>
            </w:r>
          </w:p>
        </w:tc>
        <w:tc>
          <w:tcPr>
            <w:tcW w:w="4195" w:type="dxa"/>
            <w:vAlign w:val="center"/>
            <w:hideMark/>
          </w:tcPr>
          <w:p w14:paraId="3260162D" w14:textId="77777777" w:rsidR="00D306B5" w:rsidRPr="00D306B5" w:rsidRDefault="00D306B5" w:rsidP="00E00707">
            <w:pPr>
              <w:spacing w:before="20" w:after="20"/>
              <w:ind w:left="43" w:right="43"/>
              <w:rPr>
                <w:sz w:val="20"/>
                <w:szCs w:val="20"/>
              </w:rPr>
            </w:pPr>
            <w:r w:rsidRPr="00D306B5">
              <w:rPr>
                <w:sz w:val="20"/>
                <w:szCs w:val="20"/>
              </w:rPr>
              <w:t>Repeated application of the above techniques to the head and neck. ​</w:t>
            </w:r>
          </w:p>
        </w:tc>
        <w:tc>
          <w:tcPr>
            <w:tcW w:w="2470" w:type="dxa"/>
            <w:vAlign w:val="center"/>
            <w:hideMark/>
          </w:tcPr>
          <w:p w14:paraId="2B3F82A2" w14:textId="77777777" w:rsidR="00D306B5" w:rsidRPr="00D306B5" w:rsidRDefault="00D306B5" w:rsidP="00E00707">
            <w:pPr>
              <w:spacing w:before="20" w:after="20"/>
              <w:ind w:left="43" w:right="43"/>
              <w:rPr>
                <w:sz w:val="20"/>
                <w:szCs w:val="20"/>
              </w:rPr>
            </w:pPr>
            <w:r w:rsidRPr="00D306B5">
              <w:rPr>
                <w:sz w:val="20"/>
                <w:szCs w:val="20"/>
              </w:rPr>
              <w:t>Facial paralysis (Bell's Palsy), tinnitus, emotional distress. ​</w:t>
            </w:r>
          </w:p>
        </w:tc>
      </w:tr>
    </w:tbl>
    <w:p w14:paraId="4CA8F319" w14:textId="77777777" w:rsidR="00D306B5" w:rsidRDefault="00D306B5" w:rsidP="00D306B5">
      <w:pPr>
        <w:spacing w:before="40" w:after="60"/>
      </w:pPr>
      <w:r w:rsidRPr="00D306B5">
        <w:t>This table summarizes the force options used by the officers and the injuries Locke alleged as a result.</w:t>
      </w:r>
    </w:p>
    <w:p w14:paraId="3DDE51E4" w14:textId="77777777" w:rsidR="00A827D0" w:rsidRPr="00D306B5" w:rsidRDefault="00A827D0" w:rsidP="00A827D0"/>
    <w:p w14:paraId="48C4DEA7" w14:textId="5398CF26" w:rsidR="007A6DBD" w:rsidRPr="004A4264" w:rsidRDefault="004A4264" w:rsidP="00A827D0">
      <w:pPr>
        <w:spacing w:after="60"/>
        <w:rPr>
          <w:b/>
          <w:bCs/>
        </w:rPr>
      </w:pPr>
      <w:r w:rsidRPr="004A4264">
        <w:rPr>
          <w:b/>
          <w:bCs/>
          <w:highlight w:val="yellow"/>
        </w:rPr>
        <w:t>VERY Brief Incident Abstract:</w:t>
      </w:r>
    </w:p>
    <w:p w14:paraId="250CB4F7" w14:textId="31FED7A5" w:rsidR="00E95065" w:rsidRPr="00E95065" w:rsidRDefault="00E95065" w:rsidP="00906A97">
      <w:pPr>
        <w:spacing w:before="120"/>
        <w:ind w:left="360"/>
      </w:pPr>
      <w:r w:rsidRPr="00E95065">
        <w:rPr>
          <w:b/>
          <w:bCs/>
        </w:rPr>
        <w:t>Abstract:</w:t>
      </w:r>
      <w:r w:rsidRPr="00E95065">
        <w:t xml:space="preserve"> In </w:t>
      </w:r>
      <w:r w:rsidRPr="00E95065">
        <w:rPr>
          <w:i/>
          <w:iCs/>
        </w:rPr>
        <w:t>Locke v. County of Hubbard et al.​</w:t>
      </w:r>
      <w:r w:rsidRPr="00E95065">
        <w:t>, the Eighth Circuit reversed the dismissal of Matthew Locke's claims against Hubbard County</w:t>
      </w:r>
      <w:r>
        <w:t>, MN,</w:t>
      </w:r>
      <w:r w:rsidRPr="00E95065">
        <w:t xml:space="preserve"> and its officers, who allegedly used excessive force during his arrest at a pipeline protest. Locke, who passively resisted arrest, suffered severe injuries from pain compliance techniques applied by the officers.</w:t>
      </w:r>
      <w:r>
        <w:t xml:space="preserve"> </w:t>
      </w:r>
      <w:r w:rsidRPr="00E95065">
        <w:t>The court held that Locke plausibly alleged violations of his Fourth Amendment rights and that the right to be free from more than de minimis force during a nonviolent arrest was clearly established. The case was remanded for further consideration of municipal liability and state law claims. ​ This decision highlights limits on police use of force and accountability for constitutional violations. ​</w:t>
      </w:r>
    </w:p>
    <w:p w14:paraId="3163A338" w14:textId="5147D236" w:rsidR="004A71A4" w:rsidRDefault="004A71A4" w:rsidP="000E117C">
      <w:pPr>
        <w:spacing w:before="120"/>
      </w:pPr>
      <w:r w:rsidRPr="00D877BE">
        <w:rPr>
          <w:b/>
          <w:bCs/>
        </w:rPr>
        <w:lastRenderedPageBreak/>
        <w:t xml:space="preserve">[DCT] </w:t>
      </w:r>
      <w:r w:rsidR="000E117C" w:rsidRPr="000E117C">
        <w:rPr>
          <w:i/>
          <w:iCs/>
        </w:rPr>
        <w:t>Locke v. Cnty. of Hubbard</w:t>
      </w:r>
      <w:r w:rsidR="000E117C" w:rsidRPr="000E117C">
        <w:t xml:space="preserve">, No. 23-CV-0571 (WMW/LIB), Not Reported in Fed. Supp., 2024 WL 229984 (D. Minn. Jan. 22, 2024), </w:t>
      </w:r>
      <w:r w:rsidR="000E117C" w:rsidRPr="000E117C">
        <w:rPr>
          <w:i/>
          <w:iCs/>
        </w:rPr>
        <w:t>rev'd and remanded</w:t>
      </w:r>
      <w:r w:rsidR="000E117C" w:rsidRPr="000E117C">
        <w:t>, No. 24-1285, --- F.4th ---, 2025 WL 2657200 (8th Cir. Sept. 17, 2025)</w:t>
      </w:r>
      <w:r w:rsidR="000E117C">
        <w:t>.</w:t>
      </w:r>
    </w:p>
    <w:p w14:paraId="7FEBFC93" w14:textId="77777777" w:rsidR="00E352C9" w:rsidRDefault="00E352C9" w:rsidP="00480205"/>
    <w:p w14:paraId="5A1C95C0" w14:textId="77777777" w:rsidR="00220580" w:rsidRPr="00220580" w:rsidRDefault="00220580" w:rsidP="00220580">
      <w:pPr>
        <w:spacing w:after="60"/>
      </w:pPr>
      <w:r w:rsidRPr="00220580">
        <w:rPr>
          <w:b/>
          <w:bCs/>
          <w:highlight w:val="yellow"/>
        </w:rPr>
        <w:t>Learning/Training Points Based on Clearly Established Legal (CEL) Principles:</w:t>
      </w:r>
    </w:p>
    <w:p w14:paraId="15A9BD4C" w14:textId="0BF407F2" w:rsidR="00220580" w:rsidRPr="00220580" w:rsidRDefault="00220580" w:rsidP="00220580">
      <w:pPr>
        <w:numPr>
          <w:ilvl w:val="0"/>
          <w:numId w:val="87"/>
        </w:numPr>
        <w:spacing w:after="60"/>
      </w:pPr>
      <w:r w:rsidRPr="00220580">
        <w:rPr>
          <w:b/>
          <w:bCs/>
        </w:rPr>
        <w:t>Use of Force Must Be Objectively Reasonable</w:t>
      </w:r>
      <w:r w:rsidRPr="00220580">
        <w:t xml:space="preserve"> ​ Officers must apply an objective reasonableness standard when using force, considering the severity of the crime, whether the suspect poses an immediate threat, and whether the suspect is actively resisting or attempting to evade arrest. ​</w:t>
      </w:r>
      <w:r w:rsidRPr="00220580">
        <w:rPr>
          <w:b/>
          <w:bCs/>
          <w:i/>
          <w:iCs/>
        </w:rPr>
        <w:t>Source:</w:t>
      </w:r>
      <w:r w:rsidRPr="00220580">
        <w:t xml:space="preserve"> </w:t>
      </w:r>
      <w:r w:rsidRPr="00220580">
        <w:rPr>
          <w:i/>
          <w:iCs/>
        </w:rPr>
        <w:t>Graham v. Connor</w:t>
      </w:r>
      <w:r w:rsidRPr="00220580">
        <w:t>, 490 U.S. 386, 396–97 (1989). ​</w:t>
      </w:r>
    </w:p>
    <w:p w14:paraId="2BCFB838" w14:textId="04FAEC03" w:rsidR="00220580" w:rsidRPr="00220580" w:rsidRDefault="00220580" w:rsidP="00220580">
      <w:pPr>
        <w:numPr>
          <w:ilvl w:val="0"/>
          <w:numId w:val="87"/>
        </w:numPr>
        <w:spacing w:after="60"/>
      </w:pPr>
      <w:r w:rsidRPr="00220580">
        <w:rPr>
          <w:b/>
          <w:bCs/>
        </w:rPr>
        <w:t>De Minimis Force for Nonviolent Misdemeanants</w:t>
      </w:r>
      <w:r w:rsidRPr="00220580">
        <w:t xml:space="preserve"> ​ If a person is suspected of a nonviolent misdemeanor, is not threatening anyone, and is neither fleeing nor actively resisting arrest, officers may use no more than de minimis force. ​</w:t>
      </w:r>
      <w:r w:rsidRPr="00220580">
        <w:rPr>
          <w:b/>
          <w:bCs/>
          <w:i/>
          <w:iCs/>
        </w:rPr>
        <w:t>Source:</w:t>
      </w:r>
      <w:r w:rsidRPr="00220580">
        <w:t xml:space="preserve"> </w:t>
      </w:r>
      <w:r w:rsidRPr="00220580">
        <w:rPr>
          <w:i/>
          <w:iCs/>
        </w:rPr>
        <w:t>Mitchell v. Kirchmeier</w:t>
      </w:r>
      <w:r w:rsidRPr="00220580">
        <w:t>, 28 F.4th 888, 898 (8th Cir. ​2022). ​</w:t>
      </w:r>
    </w:p>
    <w:p w14:paraId="5ADB0B3E" w14:textId="77777777" w:rsidR="00220580" w:rsidRPr="00220580" w:rsidRDefault="00220580" w:rsidP="00220580">
      <w:pPr>
        <w:numPr>
          <w:ilvl w:val="0"/>
          <w:numId w:val="87"/>
        </w:numPr>
        <w:spacing w:after="60"/>
      </w:pPr>
      <w:r w:rsidRPr="00220580">
        <w:rPr>
          <w:b/>
          <w:bCs/>
        </w:rPr>
        <w:t>Passive Resistance Does Not Justify Substantial Force</w:t>
      </w:r>
      <w:r w:rsidRPr="00220580">
        <w:t xml:space="preserve"> ​ Noncompliance or passive resistance, such as failing to release oneself from a device, does not rise to the level of active resistance and does not justify the use of substantial force. ​ </w:t>
      </w:r>
      <w:r w:rsidRPr="00220580">
        <w:rPr>
          <w:b/>
          <w:bCs/>
          <w:i/>
          <w:iCs/>
        </w:rPr>
        <w:t>Source:</w:t>
      </w:r>
      <w:r w:rsidRPr="00220580">
        <w:t xml:space="preserve"> </w:t>
      </w:r>
      <w:r w:rsidRPr="00220580">
        <w:rPr>
          <w:i/>
          <w:iCs/>
        </w:rPr>
        <w:t>Tatum v. Robinson</w:t>
      </w:r>
      <w:r w:rsidRPr="00220580">
        <w:t>, 858 F.3d 544, 549 (8th Cir. ​ 2017).</w:t>
      </w:r>
    </w:p>
    <w:p w14:paraId="204B2DA1" w14:textId="77777777" w:rsidR="00220580" w:rsidRPr="00220580" w:rsidRDefault="00220580" w:rsidP="00220580">
      <w:pPr>
        <w:numPr>
          <w:ilvl w:val="0"/>
          <w:numId w:val="87"/>
        </w:numPr>
        <w:spacing w:after="60"/>
      </w:pPr>
      <w:r w:rsidRPr="00220580">
        <w:rPr>
          <w:b/>
          <w:bCs/>
        </w:rPr>
        <w:t>Pain Compliance Techniques Must Be Proportionate</w:t>
      </w:r>
      <w:r w:rsidRPr="00220580">
        <w:t xml:space="preserve"> Pain compliance techniques must be proportionate to the circumstances and cannot be used gratuitously to inflict pain. </w:t>
      </w:r>
      <w:r w:rsidRPr="00220580">
        <w:rPr>
          <w:b/>
          <w:bCs/>
          <w:i/>
          <w:iCs/>
        </w:rPr>
        <w:t>Source:</w:t>
      </w:r>
      <w:r w:rsidRPr="00220580">
        <w:t xml:space="preserve"> </w:t>
      </w:r>
      <w:r w:rsidRPr="00220580">
        <w:rPr>
          <w:i/>
          <w:iCs/>
        </w:rPr>
        <w:t>Edrei v. Maguire</w:t>
      </w:r>
      <w:r w:rsidRPr="00220580">
        <w:t>, 892 F.3d 525, 542 (2d Cir. 2018). ​</w:t>
      </w:r>
    </w:p>
    <w:p w14:paraId="7F2246BC" w14:textId="293CEEC8" w:rsidR="00220580" w:rsidRPr="00220580" w:rsidRDefault="00220580" w:rsidP="00220580">
      <w:pPr>
        <w:numPr>
          <w:ilvl w:val="0"/>
          <w:numId w:val="87"/>
        </w:numPr>
        <w:spacing w:after="60"/>
      </w:pPr>
      <w:r w:rsidRPr="00220580">
        <w:rPr>
          <w:b/>
          <w:bCs/>
        </w:rPr>
        <w:t>Consideration of Alternative Methods</w:t>
      </w:r>
      <w:r w:rsidRPr="00220580">
        <w:t xml:space="preserve"> ​ Officers must consider the availability of alternative methods to subdue or arrest a suspect, especially in situations where the suspect poses no immediate threat. ​</w:t>
      </w:r>
      <w:r w:rsidRPr="00220580">
        <w:rPr>
          <w:b/>
          <w:bCs/>
          <w:i/>
          <w:iCs/>
        </w:rPr>
        <w:t>Source</w:t>
      </w:r>
      <w:r w:rsidRPr="00220580">
        <w:rPr>
          <w:i/>
          <w:iCs/>
        </w:rPr>
        <w:t>:</w:t>
      </w:r>
      <w:r w:rsidRPr="00220580">
        <w:t xml:space="preserve"> </w:t>
      </w:r>
      <w:r w:rsidRPr="00220580">
        <w:rPr>
          <w:i/>
          <w:iCs/>
        </w:rPr>
        <w:t>Retz v. Seaton</w:t>
      </w:r>
      <w:r w:rsidRPr="00220580">
        <w:t>, 741 F.3d 913, 918 (8th Cir. ​ 2014). ​</w:t>
      </w:r>
    </w:p>
    <w:p w14:paraId="6100A4EA" w14:textId="353ABF39" w:rsidR="00220580" w:rsidRPr="00220580" w:rsidRDefault="00220580" w:rsidP="00220580">
      <w:pPr>
        <w:numPr>
          <w:ilvl w:val="0"/>
          <w:numId w:val="87"/>
        </w:numPr>
        <w:spacing w:after="60"/>
      </w:pPr>
      <w:r w:rsidRPr="00220580">
        <w:rPr>
          <w:b/>
          <w:bCs/>
        </w:rPr>
        <w:t>Clearly Established Right to Be Free from Excessive Force</w:t>
      </w:r>
      <w:r w:rsidRPr="00220580">
        <w:t xml:space="preserve"> ​ It is clearly established that officers may not use more than de minimis force against peaceful protestors or nonviolent individuals who are passively resisting arrest. </w:t>
      </w:r>
      <w:r w:rsidRPr="00220580">
        <w:rPr>
          <w:b/>
          <w:bCs/>
          <w:i/>
          <w:iCs/>
        </w:rPr>
        <w:t>Source:</w:t>
      </w:r>
      <w:r w:rsidRPr="00220580">
        <w:t xml:space="preserve"> </w:t>
      </w:r>
      <w:r w:rsidRPr="00220580">
        <w:rPr>
          <w:i/>
          <w:iCs/>
        </w:rPr>
        <w:t>Brown v. City of Golden Valley</w:t>
      </w:r>
      <w:r w:rsidRPr="00220580">
        <w:t>, 574 F.3d 491, 499 (8th Cir. 2009). ​</w:t>
      </w:r>
    </w:p>
    <w:p w14:paraId="70C38058" w14:textId="29C6CAFF" w:rsidR="00220580" w:rsidRPr="00220580" w:rsidRDefault="00220580" w:rsidP="00220580">
      <w:pPr>
        <w:numPr>
          <w:ilvl w:val="0"/>
          <w:numId w:val="87"/>
        </w:numPr>
        <w:spacing w:after="60"/>
      </w:pPr>
      <w:r w:rsidRPr="00220580">
        <w:rPr>
          <w:b/>
          <w:bCs/>
        </w:rPr>
        <w:t>Qualified Immunity Does Not Protect Unreasonable Actions</w:t>
      </w:r>
      <w:r w:rsidRPr="00220580">
        <w:t xml:space="preserve"> ​ Qualified immunity does not apply when an officer's actions violate a clearly established constitutional right that a reasonable officer would have known. ​</w:t>
      </w:r>
      <w:r w:rsidRPr="00220580">
        <w:rPr>
          <w:b/>
          <w:bCs/>
          <w:i/>
          <w:iCs/>
        </w:rPr>
        <w:t>Source:</w:t>
      </w:r>
      <w:r w:rsidRPr="00220580">
        <w:t xml:space="preserve"> </w:t>
      </w:r>
      <w:r w:rsidRPr="00220580">
        <w:rPr>
          <w:i/>
          <w:iCs/>
        </w:rPr>
        <w:t>Anderson v. Creighton</w:t>
      </w:r>
      <w:r w:rsidRPr="00220580">
        <w:t>, 483 U.S. 635, 640 (1987). ​</w:t>
      </w:r>
    </w:p>
    <w:p w14:paraId="171F99EC" w14:textId="09E40F5E" w:rsidR="00220580" w:rsidRPr="00220580" w:rsidRDefault="00220580" w:rsidP="00220580">
      <w:r w:rsidRPr="00220580">
        <w:t xml:space="preserve">These principles provide a framework for </w:t>
      </w:r>
      <w:r>
        <w:t xml:space="preserve">assisting </w:t>
      </w:r>
      <w:r w:rsidRPr="00220580">
        <w:t xml:space="preserve">officers </w:t>
      </w:r>
      <w:r>
        <w:t xml:space="preserve">in deciding if </w:t>
      </w:r>
      <w:r w:rsidRPr="00220580">
        <w:t>their actions comply with constitutional standards and avoid excessive force during arrests. ​</w:t>
      </w:r>
    </w:p>
    <w:p w14:paraId="5F2F2DAE" w14:textId="77777777" w:rsidR="00B11216" w:rsidRDefault="00B11216" w:rsidP="001F58A7"/>
    <w:p w14:paraId="4354286B" w14:textId="3F5BB17B" w:rsidR="00B11216" w:rsidRPr="00B11216" w:rsidRDefault="00B11216" w:rsidP="00AC1DCC">
      <w:pPr>
        <w:spacing w:before="40" w:after="40"/>
      </w:pPr>
      <w:r w:rsidRPr="00B11216">
        <w:rPr>
          <w:b/>
          <w:bCs/>
        </w:rPr>
        <w:t xml:space="preserve">Comparative Reference Table of </w:t>
      </w:r>
      <w:r w:rsidR="00AC1DCC">
        <w:rPr>
          <w:b/>
          <w:bCs/>
        </w:rPr>
        <w:t xml:space="preserve">CEL </w:t>
      </w:r>
      <w:r w:rsidRPr="00B11216">
        <w:rPr>
          <w:b/>
          <w:bCs/>
        </w:rPr>
        <w:t>Passive and Active Resistance</w:t>
      </w:r>
    </w:p>
    <w:p w14:paraId="0E9F6385" w14:textId="0EDB7606" w:rsidR="00B11216" w:rsidRPr="00B11216" w:rsidRDefault="00AC1DCC" w:rsidP="00AC1DCC">
      <w:pPr>
        <w:spacing w:after="40"/>
        <w:rPr>
          <w:b/>
          <w:bCs/>
        </w:rPr>
      </w:pPr>
      <w:r>
        <w:rPr>
          <w:b/>
          <w:bCs/>
        </w:rPr>
        <w:t xml:space="preserve">CEL </w:t>
      </w:r>
      <w:r w:rsidR="00B11216" w:rsidRPr="00B11216">
        <w:rPr>
          <w:b/>
          <w:bCs/>
        </w:rPr>
        <w:t>Passive Resistance</w:t>
      </w:r>
    </w:p>
    <w:tbl>
      <w:tblPr>
        <w:tblW w:w="0" w:type="auto"/>
        <w:tblCellSpacing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firstRow="1" w:lastRow="0" w:firstColumn="1" w:lastColumn="0" w:noHBand="0" w:noVBand="1"/>
      </w:tblPr>
      <w:tblGrid>
        <w:gridCol w:w="293"/>
        <w:gridCol w:w="5180"/>
        <w:gridCol w:w="3877"/>
      </w:tblGrid>
      <w:tr w:rsidR="00B11216" w:rsidRPr="00B11216" w14:paraId="79D8E3DB" w14:textId="77777777" w:rsidTr="00B11216">
        <w:trPr>
          <w:tblHeader/>
          <w:tblCellSpacing w:w="15" w:type="dxa"/>
        </w:trPr>
        <w:tc>
          <w:tcPr>
            <w:tcW w:w="0" w:type="auto"/>
            <w:tcBorders>
              <w:bottom w:val="single" w:sz="18" w:space="0" w:color="000000" w:themeColor="text1"/>
            </w:tcBorders>
            <w:vAlign w:val="center"/>
            <w:hideMark/>
          </w:tcPr>
          <w:p w14:paraId="13B9A635" w14:textId="77777777" w:rsidR="00B11216" w:rsidRPr="00B11216" w:rsidRDefault="00B11216" w:rsidP="00B11216">
            <w:pPr>
              <w:spacing w:before="20" w:after="20"/>
              <w:ind w:left="43" w:right="43"/>
              <w:rPr>
                <w:b/>
                <w:bCs/>
                <w:sz w:val="20"/>
                <w:szCs w:val="20"/>
              </w:rPr>
            </w:pPr>
            <w:r w:rsidRPr="00B11216">
              <w:rPr>
                <w:b/>
                <w:bCs/>
                <w:sz w:val="20"/>
                <w:szCs w:val="20"/>
              </w:rPr>
              <w:t>#</w:t>
            </w:r>
          </w:p>
        </w:tc>
        <w:tc>
          <w:tcPr>
            <w:tcW w:w="0" w:type="auto"/>
            <w:tcBorders>
              <w:bottom w:val="single" w:sz="18" w:space="0" w:color="000000" w:themeColor="text1"/>
            </w:tcBorders>
            <w:vAlign w:val="center"/>
            <w:hideMark/>
          </w:tcPr>
          <w:p w14:paraId="5429FE45" w14:textId="77777777" w:rsidR="00B11216" w:rsidRPr="00B11216" w:rsidRDefault="00B11216" w:rsidP="00B11216">
            <w:pPr>
              <w:spacing w:before="20" w:after="20"/>
              <w:ind w:left="43" w:right="43"/>
              <w:rPr>
                <w:b/>
                <w:bCs/>
                <w:sz w:val="20"/>
                <w:szCs w:val="20"/>
              </w:rPr>
            </w:pPr>
            <w:r w:rsidRPr="00B11216">
              <w:rPr>
                <w:b/>
                <w:bCs/>
                <w:sz w:val="20"/>
                <w:szCs w:val="20"/>
              </w:rPr>
              <w:t>CEL Principle</w:t>
            </w:r>
          </w:p>
        </w:tc>
        <w:tc>
          <w:tcPr>
            <w:tcW w:w="0" w:type="auto"/>
            <w:tcBorders>
              <w:bottom w:val="single" w:sz="18" w:space="0" w:color="000000" w:themeColor="text1"/>
            </w:tcBorders>
            <w:vAlign w:val="center"/>
            <w:hideMark/>
          </w:tcPr>
          <w:p w14:paraId="6A0C6DB0" w14:textId="77777777" w:rsidR="00B11216" w:rsidRPr="00B11216" w:rsidRDefault="00B11216" w:rsidP="00B11216">
            <w:pPr>
              <w:spacing w:before="20" w:after="20"/>
              <w:ind w:left="43" w:right="43"/>
              <w:rPr>
                <w:b/>
                <w:bCs/>
                <w:sz w:val="20"/>
                <w:szCs w:val="20"/>
              </w:rPr>
            </w:pPr>
            <w:r w:rsidRPr="00B11216">
              <w:rPr>
                <w:b/>
                <w:bCs/>
                <w:sz w:val="20"/>
                <w:szCs w:val="20"/>
              </w:rPr>
              <w:t>Source (Full Citation)</w:t>
            </w:r>
          </w:p>
        </w:tc>
      </w:tr>
      <w:tr w:rsidR="00B11216" w:rsidRPr="00B11216" w14:paraId="7F531839" w14:textId="77777777" w:rsidTr="00B11216">
        <w:trPr>
          <w:tblCellSpacing w:w="15" w:type="dxa"/>
        </w:trPr>
        <w:tc>
          <w:tcPr>
            <w:tcW w:w="0" w:type="auto"/>
            <w:vAlign w:val="center"/>
            <w:hideMark/>
          </w:tcPr>
          <w:p w14:paraId="10AA507B" w14:textId="77777777" w:rsidR="00B11216" w:rsidRPr="00B11216" w:rsidRDefault="00B11216" w:rsidP="00B11216">
            <w:pPr>
              <w:spacing w:before="20" w:after="20"/>
              <w:ind w:left="43" w:right="43"/>
              <w:rPr>
                <w:sz w:val="20"/>
                <w:szCs w:val="20"/>
              </w:rPr>
            </w:pPr>
            <w:r w:rsidRPr="00B11216">
              <w:rPr>
                <w:sz w:val="20"/>
                <w:szCs w:val="20"/>
              </w:rPr>
              <w:t>1</w:t>
            </w:r>
          </w:p>
        </w:tc>
        <w:tc>
          <w:tcPr>
            <w:tcW w:w="0" w:type="auto"/>
            <w:vAlign w:val="center"/>
            <w:hideMark/>
          </w:tcPr>
          <w:p w14:paraId="70DE4557" w14:textId="77777777" w:rsidR="00B11216" w:rsidRPr="00B11216" w:rsidRDefault="00B11216" w:rsidP="00B11216">
            <w:pPr>
              <w:spacing w:before="20" w:after="20"/>
              <w:ind w:left="43" w:right="43"/>
              <w:rPr>
                <w:sz w:val="20"/>
                <w:szCs w:val="20"/>
              </w:rPr>
            </w:pPr>
            <w:r w:rsidRPr="00B11216">
              <w:rPr>
                <w:sz w:val="20"/>
                <w:szCs w:val="20"/>
              </w:rPr>
              <w:t>Noncompliance and arguing do not amount to active resistance. ​</w:t>
            </w:r>
          </w:p>
        </w:tc>
        <w:tc>
          <w:tcPr>
            <w:tcW w:w="0" w:type="auto"/>
            <w:vAlign w:val="center"/>
            <w:hideMark/>
          </w:tcPr>
          <w:p w14:paraId="1A16FF76" w14:textId="77777777" w:rsidR="00B11216" w:rsidRPr="00B11216" w:rsidRDefault="00B11216" w:rsidP="00B11216">
            <w:pPr>
              <w:spacing w:before="20" w:after="20"/>
              <w:ind w:left="43" w:right="43"/>
              <w:rPr>
                <w:sz w:val="20"/>
                <w:szCs w:val="20"/>
              </w:rPr>
            </w:pPr>
            <w:r w:rsidRPr="00B11216">
              <w:rPr>
                <w:i/>
                <w:iCs/>
                <w:sz w:val="20"/>
                <w:szCs w:val="20"/>
              </w:rPr>
              <w:t>Tatum v. Robinson</w:t>
            </w:r>
            <w:r w:rsidRPr="00B11216">
              <w:rPr>
                <w:sz w:val="20"/>
                <w:szCs w:val="20"/>
              </w:rPr>
              <w:t>, 858 F.3d 544, 549 (8th Cir. ​ 2017).</w:t>
            </w:r>
          </w:p>
        </w:tc>
      </w:tr>
      <w:tr w:rsidR="00B11216" w:rsidRPr="00B11216" w14:paraId="7422E84F" w14:textId="77777777" w:rsidTr="00B11216">
        <w:trPr>
          <w:tblCellSpacing w:w="15" w:type="dxa"/>
        </w:trPr>
        <w:tc>
          <w:tcPr>
            <w:tcW w:w="0" w:type="auto"/>
            <w:vAlign w:val="center"/>
            <w:hideMark/>
          </w:tcPr>
          <w:p w14:paraId="31D5320D" w14:textId="77777777" w:rsidR="00B11216" w:rsidRPr="00B11216" w:rsidRDefault="00B11216" w:rsidP="00B11216">
            <w:pPr>
              <w:spacing w:before="20" w:after="20"/>
              <w:ind w:left="43" w:right="43"/>
              <w:rPr>
                <w:sz w:val="20"/>
                <w:szCs w:val="20"/>
              </w:rPr>
            </w:pPr>
            <w:r w:rsidRPr="00B11216">
              <w:rPr>
                <w:sz w:val="20"/>
                <w:szCs w:val="20"/>
              </w:rPr>
              <w:t>2</w:t>
            </w:r>
          </w:p>
        </w:tc>
        <w:tc>
          <w:tcPr>
            <w:tcW w:w="0" w:type="auto"/>
            <w:vAlign w:val="center"/>
            <w:hideMark/>
          </w:tcPr>
          <w:p w14:paraId="5AEDF390" w14:textId="77777777" w:rsidR="00B11216" w:rsidRPr="00B11216" w:rsidRDefault="00B11216" w:rsidP="00B11216">
            <w:pPr>
              <w:spacing w:before="20" w:after="20"/>
              <w:ind w:left="43" w:right="43"/>
              <w:rPr>
                <w:sz w:val="20"/>
                <w:szCs w:val="20"/>
              </w:rPr>
            </w:pPr>
            <w:r w:rsidRPr="00B11216">
              <w:rPr>
                <w:sz w:val="20"/>
                <w:szCs w:val="20"/>
              </w:rPr>
              <w:t>Peaceful protestors ignoring commands or warnings are considered passively resisting. ​</w:t>
            </w:r>
          </w:p>
        </w:tc>
        <w:tc>
          <w:tcPr>
            <w:tcW w:w="0" w:type="auto"/>
            <w:vAlign w:val="center"/>
            <w:hideMark/>
          </w:tcPr>
          <w:p w14:paraId="75A5C928" w14:textId="77777777" w:rsidR="00B11216" w:rsidRPr="00B11216" w:rsidRDefault="00B11216" w:rsidP="00B11216">
            <w:pPr>
              <w:spacing w:before="20" w:after="20"/>
              <w:ind w:left="43" w:right="43"/>
              <w:rPr>
                <w:sz w:val="20"/>
                <w:szCs w:val="20"/>
              </w:rPr>
            </w:pPr>
            <w:r w:rsidRPr="00B11216">
              <w:rPr>
                <w:i/>
                <w:iCs/>
                <w:sz w:val="20"/>
                <w:szCs w:val="20"/>
              </w:rPr>
              <w:t>Mitchell v. Kirchmeier</w:t>
            </w:r>
            <w:r w:rsidRPr="00B11216">
              <w:rPr>
                <w:sz w:val="20"/>
                <w:szCs w:val="20"/>
              </w:rPr>
              <w:t>, 28 F.4th 888, 898 (8th Cir. ​ 2022). ​</w:t>
            </w:r>
          </w:p>
        </w:tc>
      </w:tr>
      <w:tr w:rsidR="00B11216" w:rsidRPr="00B11216" w14:paraId="748CB017" w14:textId="77777777" w:rsidTr="00B11216">
        <w:trPr>
          <w:tblCellSpacing w:w="15" w:type="dxa"/>
        </w:trPr>
        <w:tc>
          <w:tcPr>
            <w:tcW w:w="0" w:type="auto"/>
            <w:vAlign w:val="center"/>
            <w:hideMark/>
          </w:tcPr>
          <w:p w14:paraId="7A370460" w14:textId="77777777" w:rsidR="00B11216" w:rsidRPr="00B11216" w:rsidRDefault="00B11216" w:rsidP="00B11216">
            <w:pPr>
              <w:spacing w:before="20" w:after="20"/>
              <w:ind w:left="43" w:right="43"/>
              <w:rPr>
                <w:sz w:val="20"/>
                <w:szCs w:val="20"/>
              </w:rPr>
            </w:pPr>
            <w:r w:rsidRPr="00B11216">
              <w:rPr>
                <w:sz w:val="20"/>
                <w:szCs w:val="20"/>
              </w:rPr>
              <w:lastRenderedPageBreak/>
              <w:t>3</w:t>
            </w:r>
          </w:p>
        </w:tc>
        <w:tc>
          <w:tcPr>
            <w:tcW w:w="0" w:type="auto"/>
            <w:vAlign w:val="center"/>
            <w:hideMark/>
          </w:tcPr>
          <w:p w14:paraId="2BAFC373" w14:textId="77777777" w:rsidR="00B11216" w:rsidRPr="00B11216" w:rsidRDefault="00B11216" w:rsidP="00B11216">
            <w:pPr>
              <w:spacing w:before="20" w:after="20"/>
              <w:ind w:left="43" w:right="43"/>
              <w:rPr>
                <w:sz w:val="20"/>
                <w:szCs w:val="20"/>
              </w:rPr>
            </w:pPr>
            <w:r w:rsidRPr="00B11216">
              <w:rPr>
                <w:sz w:val="20"/>
                <w:szCs w:val="20"/>
              </w:rPr>
              <w:t>Passive resistance includes failing to release oneself from a device without posing a threat.</w:t>
            </w:r>
          </w:p>
        </w:tc>
        <w:tc>
          <w:tcPr>
            <w:tcW w:w="0" w:type="auto"/>
            <w:vAlign w:val="center"/>
            <w:hideMark/>
          </w:tcPr>
          <w:p w14:paraId="10E9CDE6" w14:textId="77777777" w:rsidR="00B11216" w:rsidRPr="00B11216" w:rsidRDefault="00B11216" w:rsidP="00B11216">
            <w:pPr>
              <w:spacing w:before="20" w:after="20"/>
              <w:ind w:left="43" w:right="43"/>
              <w:rPr>
                <w:sz w:val="20"/>
                <w:szCs w:val="20"/>
              </w:rPr>
            </w:pPr>
            <w:r w:rsidRPr="00B11216">
              <w:rPr>
                <w:i/>
                <w:iCs/>
                <w:sz w:val="20"/>
                <w:szCs w:val="20"/>
              </w:rPr>
              <w:t>Graham v. Connor</w:t>
            </w:r>
            <w:r w:rsidRPr="00B11216">
              <w:rPr>
                <w:sz w:val="20"/>
                <w:szCs w:val="20"/>
              </w:rPr>
              <w:t>, 490 U.S. 386, 396–97 (1989). ​</w:t>
            </w:r>
          </w:p>
        </w:tc>
      </w:tr>
      <w:tr w:rsidR="00B11216" w:rsidRPr="00B11216" w14:paraId="3B934D87" w14:textId="77777777" w:rsidTr="00B11216">
        <w:trPr>
          <w:tblCellSpacing w:w="15" w:type="dxa"/>
        </w:trPr>
        <w:tc>
          <w:tcPr>
            <w:tcW w:w="0" w:type="auto"/>
            <w:vAlign w:val="center"/>
            <w:hideMark/>
          </w:tcPr>
          <w:p w14:paraId="544C63C1" w14:textId="77777777" w:rsidR="00B11216" w:rsidRPr="00B11216" w:rsidRDefault="00B11216" w:rsidP="00B11216">
            <w:pPr>
              <w:spacing w:before="20" w:after="20"/>
              <w:ind w:left="43" w:right="43"/>
              <w:rPr>
                <w:sz w:val="20"/>
                <w:szCs w:val="20"/>
              </w:rPr>
            </w:pPr>
            <w:r w:rsidRPr="00B11216">
              <w:rPr>
                <w:sz w:val="20"/>
                <w:szCs w:val="20"/>
              </w:rPr>
              <w:t>4</w:t>
            </w:r>
          </w:p>
        </w:tc>
        <w:tc>
          <w:tcPr>
            <w:tcW w:w="0" w:type="auto"/>
            <w:vAlign w:val="center"/>
            <w:hideMark/>
          </w:tcPr>
          <w:p w14:paraId="119BD7A1" w14:textId="77777777" w:rsidR="00B11216" w:rsidRPr="00B11216" w:rsidRDefault="00B11216" w:rsidP="00B11216">
            <w:pPr>
              <w:spacing w:before="20" w:after="20"/>
              <w:ind w:left="43" w:right="43"/>
              <w:rPr>
                <w:sz w:val="20"/>
                <w:szCs w:val="20"/>
              </w:rPr>
            </w:pPr>
            <w:r w:rsidRPr="00B11216">
              <w:rPr>
                <w:sz w:val="20"/>
                <w:szCs w:val="20"/>
              </w:rPr>
              <w:t>Passive resistance may justify de minimis force but not substantial force. ​</w:t>
            </w:r>
          </w:p>
        </w:tc>
        <w:tc>
          <w:tcPr>
            <w:tcW w:w="0" w:type="auto"/>
            <w:vAlign w:val="center"/>
            <w:hideMark/>
          </w:tcPr>
          <w:p w14:paraId="22AC0046" w14:textId="77777777" w:rsidR="00B11216" w:rsidRPr="00B11216" w:rsidRDefault="00B11216" w:rsidP="00B11216">
            <w:pPr>
              <w:spacing w:before="20" w:after="20"/>
              <w:ind w:left="43" w:right="43"/>
              <w:rPr>
                <w:sz w:val="20"/>
                <w:szCs w:val="20"/>
              </w:rPr>
            </w:pPr>
            <w:r w:rsidRPr="00B11216">
              <w:rPr>
                <w:i/>
                <w:iCs/>
                <w:sz w:val="20"/>
                <w:szCs w:val="20"/>
              </w:rPr>
              <w:t>Brown v. City of Golden Valley</w:t>
            </w:r>
            <w:r w:rsidRPr="00B11216">
              <w:rPr>
                <w:sz w:val="20"/>
                <w:szCs w:val="20"/>
              </w:rPr>
              <w:t>, 574 F.3d 491, 499 (8th Cir. ​ 2009). ​</w:t>
            </w:r>
          </w:p>
        </w:tc>
      </w:tr>
    </w:tbl>
    <w:p w14:paraId="1D12148E" w14:textId="55ACB4AF" w:rsidR="00B11216" w:rsidRPr="00B11216" w:rsidRDefault="00AC1DCC" w:rsidP="00AC1DCC">
      <w:pPr>
        <w:spacing w:before="40" w:after="40"/>
        <w:rPr>
          <w:b/>
          <w:bCs/>
        </w:rPr>
      </w:pPr>
      <w:r>
        <w:rPr>
          <w:b/>
          <w:bCs/>
        </w:rPr>
        <w:t xml:space="preserve">CEL </w:t>
      </w:r>
      <w:r w:rsidR="00B11216" w:rsidRPr="00B11216">
        <w:rPr>
          <w:b/>
          <w:bCs/>
        </w:rPr>
        <w:t>Active Resistance</w:t>
      </w:r>
    </w:p>
    <w:tbl>
      <w:tblPr>
        <w:tblW w:w="0" w:type="auto"/>
        <w:tblCellSpacing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firstRow="1" w:lastRow="0" w:firstColumn="1" w:lastColumn="0" w:noHBand="0" w:noVBand="1"/>
      </w:tblPr>
      <w:tblGrid>
        <w:gridCol w:w="293"/>
        <w:gridCol w:w="5662"/>
        <w:gridCol w:w="3395"/>
      </w:tblGrid>
      <w:tr w:rsidR="00B11216" w:rsidRPr="00B11216" w14:paraId="4AD2720C" w14:textId="77777777" w:rsidTr="00AC1DCC">
        <w:trPr>
          <w:tblHeader/>
          <w:tblCellSpacing w:w="15" w:type="dxa"/>
        </w:trPr>
        <w:tc>
          <w:tcPr>
            <w:tcW w:w="0" w:type="auto"/>
            <w:tcBorders>
              <w:bottom w:val="single" w:sz="18" w:space="0" w:color="000000" w:themeColor="text1"/>
            </w:tcBorders>
            <w:vAlign w:val="center"/>
            <w:hideMark/>
          </w:tcPr>
          <w:p w14:paraId="59AB3D43" w14:textId="77777777" w:rsidR="00B11216" w:rsidRPr="00B11216" w:rsidRDefault="00B11216" w:rsidP="00AC1DCC">
            <w:pPr>
              <w:spacing w:before="20" w:after="20"/>
              <w:ind w:left="43" w:right="43"/>
              <w:rPr>
                <w:b/>
                <w:bCs/>
                <w:sz w:val="20"/>
                <w:szCs w:val="20"/>
              </w:rPr>
            </w:pPr>
            <w:r w:rsidRPr="00B11216">
              <w:rPr>
                <w:b/>
                <w:bCs/>
                <w:sz w:val="20"/>
                <w:szCs w:val="20"/>
              </w:rPr>
              <w:t>#</w:t>
            </w:r>
          </w:p>
        </w:tc>
        <w:tc>
          <w:tcPr>
            <w:tcW w:w="0" w:type="auto"/>
            <w:tcBorders>
              <w:bottom w:val="single" w:sz="18" w:space="0" w:color="000000" w:themeColor="text1"/>
            </w:tcBorders>
            <w:vAlign w:val="center"/>
            <w:hideMark/>
          </w:tcPr>
          <w:p w14:paraId="195A1D97" w14:textId="77777777" w:rsidR="00B11216" w:rsidRPr="00B11216" w:rsidRDefault="00B11216" w:rsidP="00AC1DCC">
            <w:pPr>
              <w:spacing w:before="20" w:after="20"/>
              <w:ind w:left="43" w:right="43"/>
              <w:rPr>
                <w:b/>
                <w:bCs/>
                <w:sz w:val="20"/>
                <w:szCs w:val="20"/>
              </w:rPr>
            </w:pPr>
            <w:r w:rsidRPr="00B11216">
              <w:rPr>
                <w:b/>
                <w:bCs/>
                <w:sz w:val="20"/>
                <w:szCs w:val="20"/>
              </w:rPr>
              <w:t>CEL Principle</w:t>
            </w:r>
          </w:p>
        </w:tc>
        <w:tc>
          <w:tcPr>
            <w:tcW w:w="0" w:type="auto"/>
            <w:tcBorders>
              <w:bottom w:val="single" w:sz="18" w:space="0" w:color="000000" w:themeColor="text1"/>
            </w:tcBorders>
            <w:vAlign w:val="center"/>
            <w:hideMark/>
          </w:tcPr>
          <w:p w14:paraId="312DF310" w14:textId="77777777" w:rsidR="00B11216" w:rsidRPr="00B11216" w:rsidRDefault="00B11216" w:rsidP="00AC1DCC">
            <w:pPr>
              <w:spacing w:before="20" w:after="20"/>
              <w:ind w:left="43" w:right="43"/>
              <w:rPr>
                <w:b/>
                <w:bCs/>
                <w:sz w:val="20"/>
                <w:szCs w:val="20"/>
              </w:rPr>
            </w:pPr>
            <w:r w:rsidRPr="00B11216">
              <w:rPr>
                <w:b/>
                <w:bCs/>
                <w:sz w:val="20"/>
                <w:szCs w:val="20"/>
              </w:rPr>
              <w:t>Source (Full Citation)</w:t>
            </w:r>
          </w:p>
        </w:tc>
      </w:tr>
      <w:tr w:rsidR="00B11216" w:rsidRPr="00B11216" w14:paraId="1BFA1391" w14:textId="77777777" w:rsidTr="00AC1DCC">
        <w:trPr>
          <w:tblCellSpacing w:w="15" w:type="dxa"/>
        </w:trPr>
        <w:tc>
          <w:tcPr>
            <w:tcW w:w="0" w:type="auto"/>
            <w:vAlign w:val="center"/>
            <w:hideMark/>
          </w:tcPr>
          <w:p w14:paraId="066E09E9" w14:textId="77777777" w:rsidR="00B11216" w:rsidRPr="00B11216" w:rsidRDefault="00B11216" w:rsidP="00AC1DCC">
            <w:pPr>
              <w:spacing w:before="20" w:after="20"/>
              <w:ind w:left="43" w:right="43"/>
              <w:rPr>
                <w:sz w:val="20"/>
                <w:szCs w:val="20"/>
              </w:rPr>
            </w:pPr>
            <w:r w:rsidRPr="00B11216">
              <w:rPr>
                <w:sz w:val="20"/>
                <w:szCs w:val="20"/>
              </w:rPr>
              <w:t>5</w:t>
            </w:r>
          </w:p>
        </w:tc>
        <w:tc>
          <w:tcPr>
            <w:tcW w:w="0" w:type="auto"/>
            <w:vAlign w:val="center"/>
            <w:hideMark/>
          </w:tcPr>
          <w:p w14:paraId="467ED110" w14:textId="77777777" w:rsidR="00B11216" w:rsidRPr="00B11216" w:rsidRDefault="00B11216" w:rsidP="00AC1DCC">
            <w:pPr>
              <w:spacing w:before="20" w:after="20"/>
              <w:ind w:left="43" w:right="43"/>
              <w:rPr>
                <w:sz w:val="20"/>
                <w:szCs w:val="20"/>
              </w:rPr>
            </w:pPr>
            <w:r w:rsidRPr="00B11216">
              <w:rPr>
                <w:sz w:val="20"/>
                <w:szCs w:val="20"/>
              </w:rPr>
              <w:t>Active resistance includes pulling away, fleeing, or using force to impede arrest. ​</w:t>
            </w:r>
          </w:p>
        </w:tc>
        <w:tc>
          <w:tcPr>
            <w:tcW w:w="0" w:type="auto"/>
            <w:vAlign w:val="center"/>
            <w:hideMark/>
          </w:tcPr>
          <w:p w14:paraId="0A272D1B" w14:textId="3936F15A" w:rsidR="00B11216" w:rsidRPr="00B11216" w:rsidRDefault="00B11216" w:rsidP="00AC1DCC">
            <w:pPr>
              <w:spacing w:before="20" w:after="20"/>
              <w:ind w:left="43" w:right="43"/>
              <w:rPr>
                <w:sz w:val="20"/>
                <w:szCs w:val="20"/>
              </w:rPr>
            </w:pPr>
            <w:r w:rsidRPr="00B11216">
              <w:rPr>
                <w:i/>
                <w:iCs/>
                <w:sz w:val="20"/>
                <w:szCs w:val="20"/>
              </w:rPr>
              <w:t>United States v. Hollis</w:t>
            </w:r>
            <w:r w:rsidRPr="00B11216">
              <w:rPr>
                <w:sz w:val="20"/>
                <w:szCs w:val="20"/>
              </w:rPr>
              <w:t>, 447 F.3d 1053, 1055 (8th Cir. ​2006). ​</w:t>
            </w:r>
          </w:p>
        </w:tc>
      </w:tr>
      <w:tr w:rsidR="00B11216" w:rsidRPr="00B11216" w14:paraId="7B52810C" w14:textId="77777777" w:rsidTr="00AC1DCC">
        <w:trPr>
          <w:tblCellSpacing w:w="15" w:type="dxa"/>
        </w:trPr>
        <w:tc>
          <w:tcPr>
            <w:tcW w:w="0" w:type="auto"/>
            <w:vAlign w:val="center"/>
            <w:hideMark/>
          </w:tcPr>
          <w:p w14:paraId="63CD6256" w14:textId="77777777" w:rsidR="00B11216" w:rsidRPr="00B11216" w:rsidRDefault="00B11216" w:rsidP="00AC1DCC">
            <w:pPr>
              <w:spacing w:before="20" w:after="20"/>
              <w:ind w:left="43" w:right="43"/>
              <w:rPr>
                <w:sz w:val="20"/>
                <w:szCs w:val="20"/>
              </w:rPr>
            </w:pPr>
            <w:r w:rsidRPr="00B11216">
              <w:rPr>
                <w:sz w:val="20"/>
                <w:szCs w:val="20"/>
              </w:rPr>
              <w:t>6</w:t>
            </w:r>
          </w:p>
        </w:tc>
        <w:tc>
          <w:tcPr>
            <w:tcW w:w="0" w:type="auto"/>
            <w:vAlign w:val="center"/>
            <w:hideMark/>
          </w:tcPr>
          <w:p w14:paraId="59427414" w14:textId="77777777" w:rsidR="00B11216" w:rsidRPr="00B11216" w:rsidRDefault="00B11216" w:rsidP="00AC1DCC">
            <w:pPr>
              <w:spacing w:before="20" w:after="20"/>
              <w:ind w:left="43" w:right="43"/>
              <w:rPr>
                <w:sz w:val="20"/>
                <w:szCs w:val="20"/>
              </w:rPr>
            </w:pPr>
            <w:r w:rsidRPr="00B11216">
              <w:rPr>
                <w:sz w:val="20"/>
                <w:szCs w:val="20"/>
              </w:rPr>
              <w:t>Refusing to move hands for handcuffing, coupled with other acts of defiance, constitutes active resistance. ​</w:t>
            </w:r>
          </w:p>
        </w:tc>
        <w:tc>
          <w:tcPr>
            <w:tcW w:w="0" w:type="auto"/>
            <w:vAlign w:val="center"/>
            <w:hideMark/>
          </w:tcPr>
          <w:p w14:paraId="656C0040" w14:textId="241CF7C2" w:rsidR="00B11216" w:rsidRPr="00B11216" w:rsidRDefault="00B11216" w:rsidP="00AC1DCC">
            <w:pPr>
              <w:spacing w:before="20" w:after="20"/>
              <w:ind w:left="43" w:right="43"/>
              <w:rPr>
                <w:sz w:val="20"/>
                <w:szCs w:val="20"/>
              </w:rPr>
            </w:pPr>
            <w:r w:rsidRPr="00B11216">
              <w:rPr>
                <w:i/>
                <w:iCs/>
                <w:sz w:val="20"/>
                <w:szCs w:val="20"/>
              </w:rPr>
              <w:t>Rudlaff v. Gillispie</w:t>
            </w:r>
            <w:r w:rsidRPr="00B11216">
              <w:rPr>
                <w:sz w:val="20"/>
                <w:szCs w:val="20"/>
              </w:rPr>
              <w:t>, 791 F.3d 638, 641 (6th Cir. 2015). ​</w:t>
            </w:r>
          </w:p>
        </w:tc>
      </w:tr>
      <w:tr w:rsidR="00B11216" w:rsidRPr="00B11216" w14:paraId="429C7EF6" w14:textId="77777777" w:rsidTr="00AC1DCC">
        <w:trPr>
          <w:tblCellSpacing w:w="15" w:type="dxa"/>
        </w:trPr>
        <w:tc>
          <w:tcPr>
            <w:tcW w:w="0" w:type="auto"/>
            <w:vAlign w:val="center"/>
            <w:hideMark/>
          </w:tcPr>
          <w:p w14:paraId="272D957C" w14:textId="77777777" w:rsidR="00B11216" w:rsidRPr="00B11216" w:rsidRDefault="00B11216" w:rsidP="00AC1DCC">
            <w:pPr>
              <w:spacing w:before="20" w:after="20"/>
              <w:ind w:left="43" w:right="43"/>
              <w:rPr>
                <w:sz w:val="20"/>
                <w:szCs w:val="20"/>
              </w:rPr>
            </w:pPr>
            <w:r w:rsidRPr="00B11216">
              <w:rPr>
                <w:sz w:val="20"/>
                <w:szCs w:val="20"/>
              </w:rPr>
              <w:t>7</w:t>
            </w:r>
          </w:p>
        </w:tc>
        <w:tc>
          <w:tcPr>
            <w:tcW w:w="0" w:type="auto"/>
            <w:vAlign w:val="center"/>
            <w:hideMark/>
          </w:tcPr>
          <w:p w14:paraId="1ACC6DB9" w14:textId="77777777" w:rsidR="00B11216" w:rsidRPr="00B11216" w:rsidRDefault="00B11216" w:rsidP="00AC1DCC">
            <w:pPr>
              <w:spacing w:before="20" w:after="20"/>
              <w:ind w:left="43" w:right="43"/>
              <w:rPr>
                <w:sz w:val="20"/>
                <w:szCs w:val="20"/>
              </w:rPr>
            </w:pPr>
            <w:r w:rsidRPr="00B11216">
              <w:rPr>
                <w:sz w:val="20"/>
                <w:szCs w:val="20"/>
              </w:rPr>
              <w:t>Continuing to lay on hands and refusing to comply with instructions may be interpreted as active resistance. ​</w:t>
            </w:r>
          </w:p>
        </w:tc>
        <w:tc>
          <w:tcPr>
            <w:tcW w:w="0" w:type="auto"/>
            <w:vAlign w:val="center"/>
            <w:hideMark/>
          </w:tcPr>
          <w:p w14:paraId="2F9A041C" w14:textId="366977A3" w:rsidR="00B11216" w:rsidRPr="00B11216" w:rsidRDefault="00B11216" w:rsidP="00AC1DCC">
            <w:pPr>
              <w:spacing w:before="20" w:after="20"/>
              <w:ind w:left="43" w:right="43"/>
              <w:rPr>
                <w:sz w:val="20"/>
                <w:szCs w:val="20"/>
              </w:rPr>
            </w:pPr>
            <w:r w:rsidRPr="00B11216">
              <w:rPr>
                <w:i/>
                <w:iCs/>
                <w:sz w:val="20"/>
                <w:szCs w:val="20"/>
              </w:rPr>
              <w:t>Carpenter v. Gage</w:t>
            </w:r>
            <w:r w:rsidRPr="00B11216">
              <w:rPr>
                <w:sz w:val="20"/>
                <w:szCs w:val="20"/>
              </w:rPr>
              <w:t>, 686 F.3d 644, 649–50 (8th Cir. 2012). ​</w:t>
            </w:r>
          </w:p>
        </w:tc>
      </w:tr>
      <w:tr w:rsidR="00B11216" w:rsidRPr="00B11216" w14:paraId="66AE3EFB" w14:textId="77777777" w:rsidTr="00AC1DCC">
        <w:trPr>
          <w:tblCellSpacing w:w="15" w:type="dxa"/>
        </w:trPr>
        <w:tc>
          <w:tcPr>
            <w:tcW w:w="0" w:type="auto"/>
            <w:vAlign w:val="center"/>
            <w:hideMark/>
          </w:tcPr>
          <w:p w14:paraId="08BF8693" w14:textId="77777777" w:rsidR="00B11216" w:rsidRPr="00B11216" w:rsidRDefault="00B11216" w:rsidP="00AC1DCC">
            <w:pPr>
              <w:spacing w:before="20" w:after="20"/>
              <w:ind w:left="43" w:right="43"/>
              <w:rPr>
                <w:sz w:val="20"/>
                <w:szCs w:val="20"/>
              </w:rPr>
            </w:pPr>
            <w:r w:rsidRPr="00B11216">
              <w:rPr>
                <w:sz w:val="20"/>
                <w:szCs w:val="20"/>
              </w:rPr>
              <w:t>8</w:t>
            </w:r>
          </w:p>
        </w:tc>
        <w:tc>
          <w:tcPr>
            <w:tcW w:w="0" w:type="auto"/>
            <w:vAlign w:val="center"/>
            <w:hideMark/>
          </w:tcPr>
          <w:p w14:paraId="369A7BC3" w14:textId="77777777" w:rsidR="00B11216" w:rsidRPr="00B11216" w:rsidRDefault="00B11216" w:rsidP="00AC1DCC">
            <w:pPr>
              <w:spacing w:before="20" w:after="20"/>
              <w:ind w:left="43" w:right="43"/>
              <w:rPr>
                <w:sz w:val="20"/>
                <w:szCs w:val="20"/>
              </w:rPr>
            </w:pPr>
            <w:r w:rsidRPr="00B11216">
              <w:rPr>
                <w:sz w:val="20"/>
                <w:szCs w:val="20"/>
              </w:rPr>
              <w:t>Active resistance may justify the use of taser force or other substantial measures. ​</w:t>
            </w:r>
          </w:p>
        </w:tc>
        <w:tc>
          <w:tcPr>
            <w:tcW w:w="0" w:type="auto"/>
            <w:vAlign w:val="center"/>
            <w:hideMark/>
          </w:tcPr>
          <w:p w14:paraId="5F8AB0D2" w14:textId="5C26C347" w:rsidR="00B11216" w:rsidRPr="00B11216" w:rsidRDefault="00B11216" w:rsidP="00AC1DCC">
            <w:pPr>
              <w:spacing w:before="20" w:after="20"/>
              <w:ind w:left="43" w:right="43"/>
              <w:rPr>
                <w:sz w:val="20"/>
                <w:szCs w:val="20"/>
              </w:rPr>
            </w:pPr>
            <w:r w:rsidRPr="00B11216">
              <w:rPr>
                <w:i/>
                <w:iCs/>
                <w:sz w:val="20"/>
                <w:szCs w:val="20"/>
              </w:rPr>
              <w:t>Kohorst v. Smith</w:t>
            </w:r>
            <w:r w:rsidRPr="00B11216">
              <w:rPr>
                <w:sz w:val="20"/>
                <w:szCs w:val="20"/>
              </w:rPr>
              <w:t>, 968 F.3d 871, 878 (8th Cir. 2020). ​</w:t>
            </w:r>
          </w:p>
        </w:tc>
      </w:tr>
    </w:tbl>
    <w:p w14:paraId="45B30317" w14:textId="0EC51157" w:rsidR="00B11216" w:rsidRPr="00B11216" w:rsidRDefault="00B11216" w:rsidP="00AC1DCC">
      <w:pPr>
        <w:spacing w:before="40"/>
      </w:pPr>
      <w:r w:rsidRPr="00B11216">
        <w:t xml:space="preserve">This table organizes CEL principles by resistance type and severity, providing a clear distinction between passive and active resistance and their corresponding </w:t>
      </w:r>
      <w:r w:rsidR="00AC1DCC">
        <w:t xml:space="preserve">“Clearly Established Law” (CEL) </w:t>
      </w:r>
      <w:r w:rsidRPr="00B11216">
        <w:t>legal standards.</w:t>
      </w:r>
    </w:p>
    <w:p w14:paraId="673BDD80" w14:textId="77777777" w:rsidR="00B11216" w:rsidRDefault="00B11216" w:rsidP="00480205"/>
    <w:p w14:paraId="6B968E09" w14:textId="77777777" w:rsidR="00DC4F06" w:rsidRPr="00DC4F06" w:rsidRDefault="00DC4F06" w:rsidP="00DC4F06">
      <w:pPr>
        <w:spacing w:after="60"/>
      </w:pPr>
      <w:r w:rsidRPr="00DC4F06">
        <w:t>The document does not explicitly define "passive resistance" or "active resistance." However, based on the cited legal principles and case law, the following definitions can be inferred:</w:t>
      </w:r>
    </w:p>
    <w:p w14:paraId="09D3E536" w14:textId="77777777" w:rsidR="00DC4F06" w:rsidRPr="00DC4F06" w:rsidRDefault="00DC4F06" w:rsidP="00DC4F06">
      <w:pPr>
        <w:spacing w:after="60"/>
        <w:rPr>
          <w:b/>
          <w:bCs/>
        </w:rPr>
      </w:pPr>
      <w:r w:rsidRPr="00DC4F06">
        <w:rPr>
          <w:b/>
          <w:bCs/>
        </w:rPr>
        <w:t>Passive Resistance</w:t>
      </w:r>
    </w:p>
    <w:p w14:paraId="210CF880" w14:textId="77777777" w:rsidR="00DC4F06" w:rsidRPr="00DC4F06" w:rsidRDefault="00DC4F06" w:rsidP="00DC4F06">
      <w:pPr>
        <w:spacing w:after="60"/>
      </w:pPr>
      <w:r w:rsidRPr="00DC4F06">
        <w:t>Passive resistance refers to nonviolent, noncompliant behavior where an individual does not actively cooperate with law enforcement but does not use physical force or pose a threat. Examples include:</w:t>
      </w:r>
    </w:p>
    <w:p w14:paraId="09A5FC9A" w14:textId="77777777" w:rsidR="00DC4F06" w:rsidRPr="00DC4F06" w:rsidRDefault="00DC4F06" w:rsidP="00DC4F06">
      <w:pPr>
        <w:numPr>
          <w:ilvl w:val="0"/>
          <w:numId w:val="88"/>
        </w:numPr>
        <w:spacing w:after="60"/>
      </w:pPr>
      <w:r w:rsidRPr="00DC4F06">
        <w:t>Ignoring commands or warnings (e.g., standing still or refusing to move). ​</w:t>
      </w:r>
    </w:p>
    <w:p w14:paraId="3FD858F7" w14:textId="77777777" w:rsidR="00DC4F06" w:rsidRPr="00DC4F06" w:rsidRDefault="00DC4F06" w:rsidP="00DC4F06">
      <w:pPr>
        <w:numPr>
          <w:ilvl w:val="0"/>
          <w:numId w:val="88"/>
        </w:numPr>
        <w:spacing w:after="60"/>
      </w:pPr>
      <w:r w:rsidRPr="00DC4F06">
        <w:t>Failing to release oneself from a device (e.g., a "sleeping dragon" device). ​</w:t>
      </w:r>
    </w:p>
    <w:p w14:paraId="69D9DE55" w14:textId="77777777" w:rsidR="00DC4F06" w:rsidRPr="00DC4F06" w:rsidRDefault="00DC4F06" w:rsidP="00DC4F06">
      <w:pPr>
        <w:numPr>
          <w:ilvl w:val="0"/>
          <w:numId w:val="88"/>
        </w:numPr>
        <w:spacing w:after="60"/>
      </w:pPr>
      <w:r w:rsidRPr="00DC4F06">
        <w:t>Arguing or verbally protesting without physical defiance. ​</w:t>
      </w:r>
    </w:p>
    <w:p w14:paraId="66336494" w14:textId="77777777" w:rsidR="00DC4F06" w:rsidRPr="00DC4F06" w:rsidRDefault="00DC4F06" w:rsidP="00DC4F06">
      <w:pPr>
        <w:spacing w:after="60"/>
      </w:pPr>
      <w:r w:rsidRPr="00DC4F06">
        <w:rPr>
          <w:i/>
          <w:iCs/>
        </w:rPr>
        <w:t>Sources:</w:t>
      </w:r>
    </w:p>
    <w:p w14:paraId="5CA66BB6" w14:textId="39FAF6F2" w:rsidR="00DC4F06" w:rsidRPr="00DC4F06" w:rsidRDefault="00DC4F06" w:rsidP="00DC4F06">
      <w:pPr>
        <w:numPr>
          <w:ilvl w:val="0"/>
          <w:numId w:val="89"/>
        </w:numPr>
        <w:spacing w:after="60"/>
      </w:pPr>
      <w:r w:rsidRPr="00DC4F06">
        <w:rPr>
          <w:i/>
          <w:iCs/>
        </w:rPr>
        <w:t>Tatum v. Robinson</w:t>
      </w:r>
      <w:r w:rsidRPr="00DC4F06">
        <w:t>, 858 F.3d 544, 549 (8th Cir. ​2017).</w:t>
      </w:r>
    </w:p>
    <w:p w14:paraId="777F1F2C" w14:textId="4DBF2BAA" w:rsidR="00DC4F06" w:rsidRPr="00DC4F06" w:rsidRDefault="00DC4F06" w:rsidP="00DC4F06">
      <w:pPr>
        <w:numPr>
          <w:ilvl w:val="0"/>
          <w:numId w:val="89"/>
        </w:numPr>
        <w:spacing w:after="60"/>
      </w:pPr>
      <w:r w:rsidRPr="00DC4F06">
        <w:rPr>
          <w:i/>
          <w:iCs/>
        </w:rPr>
        <w:t>Mitchell v. Kirchmeier</w:t>
      </w:r>
      <w:r w:rsidRPr="00DC4F06">
        <w:t>, 28 F.4th 888, 898 (8th Cir. ​2022). ​</w:t>
      </w:r>
    </w:p>
    <w:p w14:paraId="62DBD710" w14:textId="77777777" w:rsidR="00DC4F06" w:rsidRPr="00DC4F06" w:rsidRDefault="00DC4F06" w:rsidP="00DC4F06">
      <w:pPr>
        <w:numPr>
          <w:ilvl w:val="0"/>
          <w:numId w:val="89"/>
        </w:numPr>
        <w:spacing w:after="60"/>
      </w:pPr>
      <w:r w:rsidRPr="00DC4F06">
        <w:rPr>
          <w:i/>
          <w:iCs/>
        </w:rPr>
        <w:t>Graham v. Connor</w:t>
      </w:r>
      <w:r w:rsidRPr="00DC4F06">
        <w:t>, 490 U.S. 386, 396–97 (1989). ​</w:t>
      </w:r>
    </w:p>
    <w:p w14:paraId="26D67939" w14:textId="77777777" w:rsidR="00DC4F06" w:rsidRPr="00DC4F06" w:rsidRDefault="00DC4F06" w:rsidP="00DC4F06">
      <w:pPr>
        <w:spacing w:after="60"/>
        <w:rPr>
          <w:b/>
          <w:bCs/>
        </w:rPr>
      </w:pPr>
      <w:r w:rsidRPr="00DC4F06">
        <w:rPr>
          <w:b/>
          <w:bCs/>
        </w:rPr>
        <w:t>Active Resistance</w:t>
      </w:r>
    </w:p>
    <w:p w14:paraId="0CF55594" w14:textId="77777777" w:rsidR="00DC4F06" w:rsidRPr="00DC4F06" w:rsidRDefault="00DC4F06" w:rsidP="00DC4F06">
      <w:pPr>
        <w:spacing w:after="60"/>
      </w:pPr>
      <w:r w:rsidRPr="00DC4F06">
        <w:t>Active resistance involves physical actions or behaviors that impede or obstruct law enforcement efforts to arrest or control an individual. This includes:</w:t>
      </w:r>
    </w:p>
    <w:p w14:paraId="3AE0C863" w14:textId="77777777" w:rsidR="00DC4F06" w:rsidRPr="00DC4F06" w:rsidRDefault="00DC4F06" w:rsidP="00DC4F06">
      <w:pPr>
        <w:numPr>
          <w:ilvl w:val="0"/>
          <w:numId w:val="90"/>
        </w:numPr>
        <w:spacing w:after="60"/>
      </w:pPr>
      <w:r w:rsidRPr="00DC4F06">
        <w:t>Pulling away, fleeing, or attempting to evade arrest. ​</w:t>
      </w:r>
    </w:p>
    <w:p w14:paraId="5C744B97" w14:textId="77777777" w:rsidR="00DC4F06" w:rsidRPr="00DC4F06" w:rsidRDefault="00DC4F06" w:rsidP="00DC4F06">
      <w:pPr>
        <w:numPr>
          <w:ilvl w:val="0"/>
          <w:numId w:val="90"/>
        </w:numPr>
        <w:spacing w:after="60"/>
      </w:pPr>
      <w:r w:rsidRPr="00DC4F06">
        <w:t>Refusing to move hands for handcuffing, especially when combined with other defiant acts. ​</w:t>
      </w:r>
    </w:p>
    <w:p w14:paraId="7484C096" w14:textId="77777777" w:rsidR="00DC4F06" w:rsidRPr="00DC4F06" w:rsidRDefault="00DC4F06" w:rsidP="00DC4F06">
      <w:pPr>
        <w:numPr>
          <w:ilvl w:val="0"/>
          <w:numId w:val="90"/>
        </w:numPr>
        <w:spacing w:after="60"/>
      </w:pPr>
      <w:r w:rsidRPr="00DC4F06">
        <w:t>Using physical force to resist or impede officers.</w:t>
      </w:r>
    </w:p>
    <w:p w14:paraId="23DD2771" w14:textId="77777777" w:rsidR="00DC4F06" w:rsidRPr="00DC4F06" w:rsidRDefault="00DC4F06" w:rsidP="00DC4F06">
      <w:pPr>
        <w:spacing w:after="60"/>
      </w:pPr>
      <w:r w:rsidRPr="00DC4F06">
        <w:rPr>
          <w:i/>
          <w:iCs/>
        </w:rPr>
        <w:t>Sources:</w:t>
      </w:r>
    </w:p>
    <w:p w14:paraId="763ED1B8" w14:textId="5C776A63" w:rsidR="00DC4F06" w:rsidRPr="00DC4F06" w:rsidRDefault="00DC4F06" w:rsidP="00DC4F06">
      <w:pPr>
        <w:numPr>
          <w:ilvl w:val="0"/>
          <w:numId w:val="91"/>
        </w:numPr>
        <w:spacing w:after="60"/>
      </w:pPr>
      <w:r w:rsidRPr="00DC4F06">
        <w:rPr>
          <w:i/>
          <w:iCs/>
        </w:rPr>
        <w:lastRenderedPageBreak/>
        <w:t>United States v. Hollis</w:t>
      </w:r>
      <w:r w:rsidRPr="00DC4F06">
        <w:t>, 447 F.3d 1053, 1055 (8th Cir. 2006). ​</w:t>
      </w:r>
    </w:p>
    <w:p w14:paraId="63007E79" w14:textId="6C393480" w:rsidR="00DC4F06" w:rsidRPr="00DC4F06" w:rsidRDefault="00DC4F06" w:rsidP="00DC4F06">
      <w:pPr>
        <w:numPr>
          <w:ilvl w:val="0"/>
          <w:numId w:val="91"/>
        </w:numPr>
        <w:spacing w:after="60"/>
      </w:pPr>
      <w:r w:rsidRPr="00DC4F06">
        <w:rPr>
          <w:i/>
          <w:iCs/>
        </w:rPr>
        <w:t>Rudlaff v. Gillispie</w:t>
      </w:r>
      <w:r w:rsidRPr="00DC4F06">
        <w:t>, 791 F.3d 638, 641 (6th Cir. ​2015). ​</w:t>
      </w:r>
    </w:p>
    <w:p w14:paraId="2500C0E6" w14:textId="391AA1D5" w:rsidR="00DC4F06" w:rsidRPr="00DC4F06" w:rsidRDefault="00DC4F06" w:rsidP="00DC4F06">
      <w:pPr>
        <w:numPr>
          <w:ilvl w:val="0"/>
          <w:numId w:val="91"/>
        </w:numPr>
        <w:spacing w:after="60"/>
      </w:pPr>
      <w:r w:rsidRPr="00DC4F06">
        <w:rPr>
          <w:i/>
          <w:iCs/>
        </w:rPr>
        <w:t>Carpenter v. Gage</w:t>
      </w:r>
      <w:r w:rsidRPr="00DC4F06">
        <w:t>, 686 F.3d 644, 649–50 (8th Cir. 2012). ​</w:t>
      </w:r>
    </w:p>
    <w:p w14:paraId="71C38539" w14:textId="28F50256" w:rsidR="00B11216" w:rsidRDefault="00DC4F06" w:rsidP="00DC4F06">
      <w:r w:rsidRPr="00DC4F06">
        <w:t>These definitions are derived from the legal context provided in the document and relevant case law. ​</w:t>
      </w:r>
    </w:p>
    <w:p w14:paraId="5A63E4C9" w14:textId="77777777" w:rsidR="00B11216" w:rsidRDefault="00B11216" w:rsidP="00480205"/>
    <w:p w14:paraId="07CCAB07" w14:textId="6E9F6BE4" w:rsidR="00906A97" w:rsidRPr="00267AE8" w:rsidRDefault="00267AE8" w:rsidP="00267AE8">
      <w:pPr>
        <w:spacing w:after="60"/>
        <w:rPr>
          <w:b/>
          <w:bCs/>
        </w:rPr>
      </w:pPr>
      <w:r w:rsidRPr="00267AE8">
        <w:rPr>
          <w:b/>
          <w:bCs/>
          <w:highlight w:val="yellow"/>
        </w:rPr>
        <w:t>Case’s Mentions of Use of TASER</w:t>
      </w:r>
      <w:r w:rsidRPr="00267AE8">
        <w:rPr>
          <w:b/>
          <w:bCs/>
          <w:highlight w:val="yellow"/>
          <w:vertAlign w:val="superscript"/>
        </w:rPr>
        <w:t>®</w:t>
      </w:r>
      <w:r w:rsidRPr="00267AE8">
        <w:rPr>
          <w:b/>
          <w:bCs/>
          <w:highlight w:val="yellow"/>
        </w:rPr>
        <w:t xml:space="preserve"> Conducted Electrical Weapon (CEW)</w:t>
      </w:r>
    </w:p>
    <w:p w14:paraId="4284E462" w14:textId="262D7098" w:rsidR="00267AE8" w:rsidRPr="00267AE8" w:rsidRDefault="00267AE8" w:rsidP="00267AE8">
      <w:pPr>
        <w:spacing w:after="60"/>
      </w:pPr>
      <w:r w:rsidRPr="00267AE8">
        <w:t xml:space="preserve">The document mentions the use of a </w:t>
      </w:r>
      <w:r>
        <w:t>TASER CEW</w:t>
      </w:r>
      <w:r w:rsidRPr="00267AE8">
        <w:t xml:space="preserve"> in the following contexts:</w:t>
      </w:r>
    </w:p>
    <w:p w14:paraId="7F3A5D23" w14:textId="77777777" w:rsidR="00267AE8" w:rsidRPr="00267AE8" w:rsidRDefault="00267AE8" w:rsidP="00267AE8">
      <w:pPr>
        <w:numPr>
          <w:ilvl w:val="0"/>
          <w:numId w:val="92"/>
        </w:numPr>
        <w:spacing w:after="60"/>
        <w:rPr>
          <w:i/>
          <w:iCs/>
        </w:rPr>
      </w:pPr>
      <w:r w:rsidRPr="00267AE8">
        <w:rPr>
          <w:b/>
          <w:bCs/>
          <w:i/>
          <w:iCs/>
        </w:rPr>
        <w:t>Ehlers v. City of Rapid City</w:t>
      </w:r>
      <w:r w:rsidRPr="00267AE8">
        <w:rPr>
          <w:i/>
          <w:iCs/>
        </w:rPr>
        <w:t xml:space="preserve"> ​</w:t>
      </w:r>
    </w:p>
    <w:p w14:paraId="7D140A3D" w14:textId="2CE27F9B" w:rsidR="00267AE8" w:rsidRPr="00267AE8" w:rsidRDefault="00267AE8" w:rsidP="00267AE8">
      <w:pPr>
        <w:numPr>
          <w:ilvl w:val="1"/>
          <w:numId w:val="92"/>
        </w:numPr>
        <w:spacing w:after="60"/>
        <w:ind w:left="720"/>
      </w:pPr>
      <w:r w:rsidRPr="00267AE8">
        <w:t>The case discusses the use of a taser by an officer during an arrest. ​The officer used a taser to shock the arrestee while three other officers held the individual down. ​The court granted qualified immunity to the officer, reasoning that the officer could reasonably interpret the arrestee's behavior as resistance and respond accordingly. ​</w:t>
      </w:r>
    </w:p>
    <w:p w14:paraId="04D9B030" w14:textId="3C0DF1BD" w:rsidR="00267AE8" w:rsidRPr="00267AE8" w:rsidRDefault="00267AE8" w:rsidP="00267AE8">
      <w:pPr>
        <w:numPr>
          <w:ilvl w:val="1"/>
          <w:numId w:val="92"/>
        </w:numPr>
        <w:spacing w:after="60"/>
        <w:ind w:left="720"/>
        <w:rPr>
          <w:sz w:val="20"/>
          <w:szCs w:val="20"/>
        </w:rPr>
      </w:pPr>
      <w:r w:rsidRPr="00267AE8">
        <w:rPr>
          <w:b/>
          <w:bCs/>
          <w:i/>
          <w:iCs/>
          <w:sz w:val="20"/>
          <w:szCs w:val="20"/>
        </w:rPr>
        <w:t>Source:</w:t>
      </w:r>
      <w:r w:rsidRPr="00267AE8">
        <w:rPr>
          <w:sz w:val="20"/>
          <w:szCs w:val="20"/>
        </w:rPr>
        <w:t xml:space="preserve"> </w:t>
      </w:r>
      <w:r w:rsidRPr="00267AE8">
        <w:rPr>
          <w:i/>
          <w:iCs/>
          <w:sz w:val="20"/>
          <w:szCs w:val="20"/>
        </w:rPr>
        <w:t>Ehlers v. City of Rapid City</w:t>
      </w:r>
      <w:r w:rsidRPr="00267AE8">
        <w:rPr>
          <w:sz w:val="20"/>
          <w:szCs w:val="20"/>
        </w:rPr>
        <w:t>, 846 F.3d 1002, 1007–08, 1011 (8th Cir. ​2017).</w:t>
      </w:r>
    </w:p>
    <w:p w14:paraId="2E48D5D0" w14:textId="77777777" w:rsidR="00267AE8" w:rsidRPr="00267AE8" w:rsidRDefault="00267AE8" w:rsidP="00267AE8">
      <w:pPr>
        <w:numPr>
          <w:ilvl w:val="0"/>
          <w:numId w:val="92"/>
        </w:numPr>
        <w:spacing w:after="60"/>
      </w:pPr>
      <w:r w:rsidRPr="00267AE8">
        <w:rPr>
          <w:b/>
          <w:bCs/>
          <w:i/>
          <w:iCs/>
        </w:rPr>
        <w:t>Brown v. City of Golden Valley</w:t>
      </w:r>
      <w:r w:rsidRPr="00267AE8">
        <w:t xml:space="preserve"> ​</w:t>
      </w:r>
    </w:p>
    <w:p w14:paraId="3B3F6521" w14:textId="77777777" w:rsidR="00267AE8" w:rsidRPr="00267AE8" w:rsidRDefault="00267AE8" w:rsidP="00267AE8">
      <w:pPr>
        <w:numPr>
          <w:ilvl w:val="1"/>
          <w:numId w:val="92"/>
        </w:numPr>
        <w:spacing w:after="60"/>
        <w:ind w:left="720"/>
      </w:pPr>
      <w:r w:rsidRPr="00267AE8">
        <w:t>The document references this case to highlight that a reasonable officer would have known it was unlawful to use a taser in certain circumstances. ​ The case is used to illustrate that even relatively new implements of force, like tasers, can be deemed excessive depending on the situation. ​</w:t>
      </w:r>
    </w:p>
    <w:p w14:paraId="0A17714B" w14:textId="123CA837" w:rsidR="00267AE8" w:rsidRPr="00267AE8" w:rsidRDefault="00267AE8" w:rsidP="00267AE8">
      <w:pPr>
        <w:numPr>
          <w:ilvl w:val="1"/>
          <w:numId w:val="92"/>
        </w:numPr>
        <w:spacing w:after="60"/>
        <w:ind w:left="720"/>
      </w:pPr>
      <w:r w:rsidRPr="00267AE8">
        <w:rPr>
          <w:b/>
          <w:bCs/>
          <w:i/>
          <w:iCs/>
          <w:sz w:val="20"/>
          <w:szCs w:val="20"/>
        </w:rPr>
        <w:t>Source:</w:t>
      </w:r>
      <w:r w:rsidRPr="00267AE8">
        <w:rPr>
          <w:sz w:val="20"/>
          <w:szCs w:val="20"/>
        </w:rPr>
        <w:t xml:space="preserve"> </w:t>
      </w:r>
      <w:r w:rsidRPr="00267AE8">
        <w:rPr>
          <w:i/>
          <w:iCs/>
          <w:sz w:val="20"/>
          <w:szCs w:val="20"/>
        </w:rPr>
        <w:t>Brown v. City of Golden Valley</w:t>
      </w:r>
      <w:r w:rsidRPr="00267AE8">
        <w:rPr>
          <w:sz w:val="20"/>
          <w:szCs w:val="20"/>
        </w:rPr>
        <w:t>, 574 F.3d 491, 498 n.5, 499 (8th Cir. ​2009).</w:t>
      </w:r>
      <w:r w:rsidRPr="00267AE8">
        <w:t xml:space="preserve"> ​</w:t>
      </w:r>
    </w:p>
    <w:p w14:paraId="4061F69B" w14:textId="77777777" w:rsidR="00267AE8" w:rsidRPr="00267AE8" w:rsidRDefault="00267AE8" w:rsidP="00267AE8">
      <w:pPr>
        <w:numPr>
          <w:ilvl w:val="0"/>
          <w:numId w:val="92"/>
        </w:numPr>
        <w:spacing w:after="60"/>
      </w:pPr>
      <w:r w:rsidRPr="00267AE8">
        <w:rPr>
          <w:b/>
          <w:bCs/>
          <w:i/>
          <w:iCs/>
        </w:rPr>
        <w:t>Kohorst v. Smith</w:t>
      </w:r>
      <w:r w:rsidRPr="00267AE8">
        <w:t xml:space="preserve"> ​</w:t>
      </w:r>
    </w:p>
    <w:p w14:paraId="093E602B" w14:textId="77777777" w:rsidR="00267AE8" w:rsidRPr="00267AE8" w:rsidRDefault="00267AE8" w:rsidP="00267AE8">
      <w:pPr>
        <w:numPr>
          <w:ilvl w:val="1"/>
          <w:numId w:val="92"/>
        </w:numPr>
        <w:spacing w:after="60"/>
        <w:ind w:left="720"/>
      </w:pPr>
      <w:r w:rsidRPr="00267AE8">
        <w:t>The document notes that unarmed, passively resisting subjects can sometimes justify the use of taser force, depending on the circumstances. ​</w:t>
      </w:r>
    </w:p>
    <w:p w14:paraId="38FC0C84" w14:textId="3E60D6A0" w:rsidR="00267AE8" w:rsidRPr="00267AE8" w:rsidRDefault="00267AE8" w:rsidP="00267AE8">
      <w:pPr>
        <w:numPr>
          <w:ilvl w:val="1"/>
          <w:numId w:val="92"/>
        </w:numPr>
        <w:spacing w:after="60"/>
        <w:ind w:left="720"/>
        <w:rPr>
          <w:sz w:val="20"/>
          <w:szCs w:val="20"/>
        </w:rPr>
      </w:pPr>
      <w:r w:rsidRPr="00267AE8">
        <w:rPr>
          <w:b/>
          <w:bCs/>
          <w:i/>
          <w:iCs/>
          <w:sz w:val="20"/>
          <w:szCs w:val="20"/>
        </w:rPr>
        <w:t>Source:</w:t>
      </w:r>
      <w:r w:rsidRPr="00267AE8">
        <w:rPr>
          <w:sz w:val="20"/>
          <w:szCs w:val="20"/>
        </w:rPr>
        <w:t xml:space="preserve"> </w:t>
      </w:r>
      <w:r w:rsidRPr="00267AE8">
        <w:rPr>
          <w:i/>
          <w:iCs/>
          <w:sz w:val="20"/>
          <w:szCs w:val="20"/>
        </w:rPr>
        <w:t>Kohorst v. Smith</w:t>
      </w:r>
      <w:r w:rsidRPr="00267AE8">
        <w:rPr>
          <w:sz w:val="20"/>
          <w:szCs w:val="20"/>
        </w:rPr>
        <w:t>, 968 F.3d 871, 878 (8th Cir. 2020). ​</w:t>
      </w:r>
    </w:p>
    <w:p w14:paraId="3878F4F4" w14:textId="77777777" w:rsidR="00267AE8" w:rsidRPr="00267AE8" w:rsidRDefault="00267AE8" w:rsidP="00267AE8">
      <w:r w:rsidRPr="00267AE8">
        <w:t>These are the only mentions or references to tasers or similar electrical weapons in the document.</w:t>
      </w:r>
    </w:p>
    <w:p w14:paraId="08D9FC2E" w14:textId="77777777" w:rsidR="00267AE8" w:rsidRDefault="00267AE8" w:rsidP="00480205"/>
    <w:p w14:paraId="297DAE4B" w14:textId="77777777" w:rsidR="003547A0" w:rsidRPr="00E352C9" w:rsidRDefault="003547A0" w:rsidP="003547A0">
      <w:pPr>
        <w:spacing w:after="60"/>
        <w:rPr>
          <w:b/>
          <w:bCs/>
        </w:rPr>
      </w:pPr>
      <w:r w:rsidRPr="00E352C9">
        <w:rPr>
          <w:b/>
          <w:bCs/>
        </w:rPr>
        <w:t>Summary</w:t>
      </w:r>
    </w:p>
    <w:p w14:paraId="55943C73" w14:textId="77777777" w:rsidR="003547A0" w:rsidRPr="00E352C9" w:rsidRDefault="003547A0" w:rsidP="003547A0">
      <w:pPr>
        <w:spacing w:after="60"/>
      </w:pPr>
      <w:r w:rsidRPr="00E352C9">
        <w:t xml:space="preserve">This document details the Eighth Circuit Court of Appeals' decision in </w:t>
      </w:r>
      <w:r w:rsidRPr="00E352C9">
        <w:rPr>
          <w:i/>
          <w:iCs/>
        </w:rPr>
        <w:t>Locke v. County of Hubbard</w:t>
      </w:r>
      <w:r w:rsidRPr="00E352C9">
        <w:t>, addressing claims of excessive force by law enforcement during a protest.</w:t>
      </w:r>
    </w:p>
    <w:p w14:paraId="32DFF360" w14:textId="77777777" w:rsidR="003547A0" w:rsidRPr="00E352C9" w:rsidRDefault="003547A0" w:rsidP="003547A0">
      <w:pPr>
        <w:keepNext/>
        <w:keepLines/>
        <w:spacing w:after="60"/>
      </w:pPr>
      <w:r w:rsidRPr="00E352C9">
        <w:rPr>
          <w:b/>
          <w:bCs/>
        </w:rPr>
        <w:t>Case Background</w:t>
      </w:r>
    </w:p>
    <w:p w14:paraId="54887D6B" w14:textId="77777777" w:rsidR="003547A0" w:rsidRPr="00E352C9" w:rsidRDefault="003547A0" w:rsidP="003547A0">
      <w:pPr>
        <w:keepNext/>
        <w:keepLines/>
        <w:numPr>
          <w:ilvl w:val="0"/>
          <w:numId w:val="74"/>
        </w:numPr>
        <w:spacing w:after="60"/>
      </w:pPr>
      <w:r w:rsidRPr="00E352C9">
        <w:t>Matthew Locke filed a lawsuit against Hubbard County, Sheriff Cory Aukes, and Chief Deputy Sheriff Scott Parks under 42 U.S.C. ​§ 1983 and Minnesota law, alleging excessive force during an oil pipeline protest. ​</w:t>
      </w:r>
    </w:p>
    <w:p w14:paraId="13406005" w14:textId="77777777" w:rsidR="003547A0" w:rsidRPr="00E352C9" w:rsidRDefault="003547A0" w:rsidP="003547A0">
      <w:pPr>
        <w:numPr>
          <w:ilvl w:val="0"/>
          <w:numId w:val="74"/>
        </w:numPr>
        <w:spacing w:after="60"/>
        <w:rPr>
          <w:highlight w:val="yellow"/>
        </w:rPr>
      </w:pPr>
      <w:r w:rsidRPr="00E352C9">
        <w:t xml:space="preserve">The </w:t>
      </w:r>
      <w:r w:rsidRPr="00E352C9">
        <w:rPr>
          <w:highlight w:val="yellow"/>
        </w:rPr>
        <w:t>district court dismissed the case, granting qualified and official immunity to the officers and ruling that the complaint did not establish municipal liability. ​</w:t>
      </w:r>
    </w:p>
    <w:p w14:paraId="27B053BE" w14:textId="77777777" w:rsidR="003547A0" w:rsidRPr="00E352C9" w:rsidRDefault="003547A0" w:rsidP="003547A0">
      <w:pPr>
        <w:spacing w:after="60"/>
      </w:pPr>
      <w:r w:rsidRPr="00E352C9">
        <w:rPr>
          <w:b/>
          <w:bCs/>
        </w:rPr>
        <w:t>Court's Findings</w:t>
      </w:r>
    </w:p>
    <w:p w14:paraId="32897525" w14:textId="77777777" w:rsidR="003547A0" w:rsidRPr="00E352C9" w:rsidRDefault="003547A0" w:rsidP="003547A0">
      <w:pPr>
        <w:numPr>
          <w:ilvl w:val="0"/>
          <w:numId w:val="75"/>
        </w:numPr>
        <w:spacing w:after="60"/>
      </w:pPr>
      <w:r w:rsidRPr="00E352C9">
        <w:t>The Eighth Circuit reviewed the case de novo, accepting the facts in Locke's complaint as true.</w:t>
      </w:r>
    </w:p>
    <w:p w14:paraId="5E5FCD1A" w14:textId="77777777" w:rsidR="003547A0" w:rsidRPr="00E352C9" w:rsidRDefault="003547A0" w:rsidP="003547A0">
      <w:pPr>
        <w:numPr>
          <w:ilvl w:val="0"/>
          <w:numId w:val="75"/>
        </w:numPr>
        <w:spacing w:after="60"/>
      </w:pPr>
      <w:r w:rsidRPr="00E352C9">
        <w:lastRenderedPageBreak/>
        <w:t xml:space="preserve">On </w:t>
      </w:r>
      <w:r w:rsidRPr="00E352C9">
        <w:rPr>
          <w:highlight w:val="yellow"/>
        </w:rPr>
        <w:t>August 16, 2021</w:t>
      </w:r>
      <w:r w:rsidRPr="00E352C9">
        <w:t xml:space="preserve">, Locke and another </w:t>
      </w:r>
      <w:r w:rsidRPr="00E352C9">
        <w:rPr>
          <w:highlight w:val="yellow"/>
        </w:rPr>
        <w:t>protestor</w:t>
      </w:r>
      <w:r w:rsidRPr="00E352C9">
        <w:t xml:space="preserve"> used a "</w:t>
      </w:r>
      <w:r w:rsidRPr="00E352C9">
        <w:rPr>
          <w:highlight w:val="yellow"/>
        </w:rPr>
        <w:t>sleeping dragon device</w:t>
      </w:r>
      <w:r w:rsidRPr="00E352C9">
        <w:t xml:space="preserve">" </w:t>
      </w:r>
      <w:r w:rsidRPr="00E352C9">
        <w:rPr>
          <w:highlight w:val="yellow"/>
        </w:rPr>
        <w:t>to attach themselves to construction equipment</w:t>
      </w:r>
      <w:r w:rsidRPr="00E352C9">
        <w:t xml:space="preserve"> during a protest against an Enbridge pipeline. ​</w:t>
      </w:r>
    </w:p>
    <w:p w14:paraId="1C4C5549" w14:textId="77777777" w:rsidR="003547A0" w:rsidRPr="00E352C9" w:rsidRDefault="003547A0" w:rsidP="003547A0">
      <w:pPr>
        <w:numPr>
          <w:ilvl w:val="0"/>
          <w:numId w:val="75"/>
        </w:numPr>
        <w:spacing w:after="60"/>
        <w:rPr>
          <w:b/>
          <w:bCs/>
          <w:highlight w:val="yellow"/>
        </w:rPr>
      </w:pPr>
      <w:r w:rsidRPr="00E352C9">
        <w:rPr>
          <w:b/>
          <w:bCs/>
          <w:highlight w:val="yellow"/>
        </w:rPr>
        <w:t>Officers attempted to remove Locke using pain compliance techniques, which resulted in severe injuries, including facial paralysis and emotional distress.</w:t>
      </w:r>
    </w:p>
    <w:p w14:paraId="37708825" w14:textId="77777777" w:rsidR="003547A0" w:rsidRPr="00E352C9" w:rsidRDefault="003547A0" w:rsidP="003547A0">
      <w:pPr>
        <w:spacing w:after="60"/>
      </w:pPr>
      <w:r w:rsidRPr="00E352C9">
        <w:rPr>
          <w:b/>
          <w:bCs/>
        </w:rPr>
        <w:t>Excessive Force Claim</w:t>
      </w:r>
    </w:p>
    <w:p w14:paraId="7323B6E0" w14:textId="77777777" w:rsidR="003547A0" w:rsidRPr="00E352C9" w:rsidRDefault="003547A0" w:rsidP="003547A0">
      <w:pPr>
        <w:numPr>
          <w:ilvl w:val="0"/>
          <w:numId w:val="76"/>
        </w:numPr>
        <w:spacing w:after="60"/>
      </w:pPr>
      <w:r w:rsidRPr="00E352C9">
        <w:t>The court evaluated whether the officers' actions violated Locke's Fourth Amendment rights against excessive force. ​</w:t>
      </w:r>
    </w:p>
    <w:p w14:paraId="3C2B9B7F" w14:textId="77777777" w:rsidR="003547A0" w:rsidRPr="00E352C9" w:rsidRDefault="003547A0" w:rsidP="003547A0">
      <w:pPr>
        <w:numPr>
          <w:ilvl w:val="0"/>
          <w:numId w:val="76"/>
        </w:numPr>
        <w:spacing w:after="60"/>
      </w:pPr>
      <w:r w:rsidRPr="00E352C9">
        <w:t>The standard applied was objective reasonableness, considering the severity of the crime, the threat posed by the suspect, and whether the suspect was actively resisting arrest. ​</w:t>
      </w:r>
    </w:p>
    <w:p w14:paraId="6FF9352B" w14:textId="77777777" w:rsidR="003547A0" w:rsidRPr="00E352C9" w:rsidRDefault="003547A0" w:rsidP="003547A0">
      <w:pPr>
        <w:numPr>
          <w:ilvl w:val="0"/>
          <w:numId w:val="76"/>
        </w:numPr>
        <w:spacing w:after="60"/>
      </w:pPr>
      <w:r w:rsidRPr="00E352C9">
        <w:rPr>
          <w:highlight w:val="yellow"/>
        </w:rPr>
        <w:t>Locke was charged with nonviolent misdemeanors</w:t>
      </w:r>
      <w:r w:rsidRPr="00E352C9">
        <w:t xml:space="preserve">, and the </w:t>
      </w:r>
      <w:r w:rsidRPr="00E352C9">
        <w:rPr>
          <w:b/>
          <w:bCs/>
          <w:highlight w:val="yellow"/>
        </w:rPr>
        <w:t>court found no justification for the level of force used against him, as he posed no immediate threat and was not actively resisting arrest.</w:t>
      </w:r>
      <w:r w:rsidRPr="00E352C9">
        <w:rPr>
          <w:b/>
          <w:bCs/>
        </w:rPr>
        <w:t xml:space="preserve"> </w:t>
      </w:r>
      <w:r w:rsidRPr="00E352C9">
        <w:t>​</w:t>
      </w:r>
    </w:p>
    <w:p w14:paraId="4679B140" w14:textId="77777777" w:rsidR="003547A0" w:rsidRPr="00E352C9" w:rsidRDefault="003547A0" w:rsidP="003547A0">
      <w:pPr>
        <w:spacing w:after="60"/>
      </w:pPr>
      <w:r w:rsidRPr="00E352C9">
        <w:rPr>
          <w:b/>
          <w:bCs/>
        </w:rPr>
        <w:t>Qualified Immunity Analysis</w:t>
      </w:r>
    </w:p>
    <w:p w14:paraId="4591BD31" w14:textId="77777777" w:rsidR="003547A0" w:rsidRPr="00E352C9" w:rsidRDefault="003547A0" w:rsidP="003547A0">
      <w:pPr>
        <w:numPr>
          <w:ilvl w:val="0"/>
          <w:numId w:val="77"/>
        </w:numPr>
        <w:spacing w:after="60"/>
      </w:pPr>
      <w:r w:rsidRPr="00E352C9">
        <w:t xml:space="preserve">The </w:t>
      </w:r>
      <w:r w:rsidRPr="00E352C9">
        <w:rPr>
          <w:highlight w:val="yellow"/>
        </w:rPr>
        <w:t xml:space="preserve">court determined that a </w:t>
      </w:r>
      <w:r w:rsidRPr="00E352C9">
        <w:rPr>
          <w:b/>
          <w:bCs/>
          <w:highlight w:val="yellow"/>
        </w:rPr>
        <w:t>reasonable officer would have known that the use of multiple pressure-point techniques was excessive under the circumstances.</w:t>
      </w:r>
    </w:p>
    <w:p w14:paraId="0313CB95" w14:textId="77777777" w:rsidR="003547A0" w:rsidRPr="00E352C9" w:rsidRDefault="003547A0" w:rsidP="003547A0">
      <w:pPr>
        <w:numPr>
          <w:ilvl w:val="0"/>
          <w:numId w:val="77"/>
        </w:numPr>
        <w:spacing w:after="60"/>
      </w:pPr>
      <w:r w:rsidRPr="00E352C9">
        <w:t xml:space="preserve">The </w:t>
      </w:r>
      <w:r w:rsidRPr="00E352C9">
        <w:rPr>
          <w:highlight w:val="yellow"/>
        </w:rPr>
        <w:t xml:space="preserve">officers' actions were not justified as they </w:t>
      </w:r>
      <w:r w:rsidRPr="00E352C9">
        <w:rPr>
          <w:b/>
          <w:bCs/>
          <w:highlight w:val="yellow"/>
        </w:rPr>
        <w:t>had time to consider alternative methods for handling the situation</w:t>
      </w:r>
      <w:r w:rsidRPr="00E352C9">
        <w:t xml:space="preserve">, and the use of </w:t>
      </w:r>
      <w:r w:rsidRPr="00E352C9">
        <w:rPr>
          <w:b/>
          <w:bCs/>
          <w:highlight w:val="yellow"/>
        </w:rPr>
        <w:t>force was not proportionate</w:t>
      </w:r>
      <w:r w:rsidRPr="00E352C9">
        <w:rPr>
          <w:highlight w:val="yellow"/>
        </w:rPr>
        <w:t xml:space="preserve"> to the nonviolent nature of the protest.</w:t>
      </w:r>
      <w:r w:rsidRPr="00E352C9">
        <w:t xml:space="preserve"> ​</w:t>
      </w:r>
    </w:p>
    <w:p w14:paraId="2975D13F" w14:textId="77777777" w:rsidR="003547A0" w:rsidRPr="00E352C9" w:rsidRDefault="003547A0" w:rsidP="003547A0">
      <w:pPr>
        <w:spacing w:after="60"/>
      </w:pPr>
      <w:r w:rsidRPr="00E352C9">
        <w:rPr>
          <w:b/>
          <w:bCs/>
        </w:rPr>
        <w:t>Clearly Established Law</w:t>
      </w:r>
    </w:p>
    <w:p w14:paraId="27E9279F" w14:textId="77777777" w:rsidR="003547A0" w:rsidRPr="00E352C9" w:rsidRDefault="003547A0" w:rsidP="003547A0">
      <w:pPr>
        <w:numPr>
          <w:ilvl w:val="0"/>
          <w:numId w:val="78"/>
        </w:numPr>
        <w:spacing w:after="60"/>
      </w:pPr>
      <w:r w:rsidRPr="00E352C9">
        <w:t>The court addressed whether the right violated was clearly established at the time of the incident. ​</w:t>
      </w:r>
    </w:p>
    <w:p w14:paraId="36A1BF0D" w14:textId="77777777" w:rsidR="003547A0" w:rsidRPr="00E352C9" w:rsidRDefault="003547A0" w:rsidP="003547A0">
      <w:pPr>
        <w:numPr>
          <w:ilvl w:val="0"/>
          <w:numId w:val="78"/>
        </w:numPr>
        <w:spacing w:after="60"/>
      </w:pPr>
      <w:r w:rsidRPr="00E352C9">
        <w:t xml:space="preserve">It </w:t>
      </w:r>
      <w:r w:rsidRPr="00E352C9">
        <w:rPr>
          <w:highlight w:val="yellow"/>
        </w:rPr>
        <w:t xml:space="preserve">concluded that prior case law indicated that </w:t>
      </w:r>
      <w:r w:rsidRPr="00E352C9">
        <w:rPr>
          <w:b/>
          <w:bCs/>
          <w:highlight w:val="yellow"/>
        </w:rPr>
        <w:t>officers could not use more than de minimis force</w:t>
      </w:r>
      <w:r w:rsidRPr="00E352C9">
        <w:rPr>
          <w:highlight w:val="yellow"/>
        </w:rPr>
        <w:t xml:space="preserve"> against </w:t>
      </w:r>
      <w:r w:rsidRPr="00E352C9">
        <w:rPr>
          <w:b/>
          <w:bCs/>
          <w:highlight w:val="yellow"/>
        </w:rPr>
        <w:t>individuals not suspected of serious crimes and who were not threatening anyone.</w:t>
      </w:r>
      <w:r w:rsidRPr="00E352C9">
        <w:t xml:space="preserve"> ​</w:t>
      </w:r>
    </w:p>
    <w:p w14:paraId="762B29B7" w14:textId="77777777" w:rsidR="003547A0" w:rsidRPr="00E352C9" w:rsidRDefault="003547A0" w:rsidP="003547A0">
      <w:pPr>
        <w:numPr>
          <w:ilvl w:val="0"/>
          <w:numId w:val="78"/>
        </w:numPr>
        <w:spacing w:after="60"/>
      </w:pPr>
      <w:r w:rsidRPr="00E352C9">
        <w:t xml:space="preserve">The court distinguished Locke's case from others where officers were granted qualified immunity, </w:t>
      </w:r>
      <w:r w:rsidRPr="00E352C9">
        <w:rPr>
          <w:highlight w:val="yellow"/>
        </w:rPr>
        <w:t xml:space="preserve">emphasizing that </w:t>
      </w:r>
      <w:r w:rsidRPr="00E352C9">
        <w:rPr>
          <w:b/>
          <w:bCs/>
          <w:highlight w:val="yellow"/>
        </w:rPr>
        <w:t>Locke's passive resistance did not warrant the level of force used.</w:t>
      </w:r>
      <w:r w:rsidRPr="00E352C9">
        <w:rPr>
          <w:highlight w:val="yellow"/>
        </w:rPr>
        <w:t xml:space="preserve"> ​</w:t>
      </w:r>
    </w:p>
    <w:p w14:paraId="70EC4312" w14:textId="77777777" w:rsidR="003547A0" w:rsidRPr="00E352C9" w:rsidRDefault="003547A0" w:rsidP="003547A0">
      <w:pPr>
        <w:keepNext/>
        <w:keepLines/>
        <w:spacing w:after="60"/>
      </w:pPr>
      <w:r w:rsidRPr="00E352C9">
        <w:rPr>
          <w:b/>
          <w:bCs/>
        </w:rPr>
        <w:t>Official Capacity Claim</w:t>
      </w:r>
    </w:p>
    <w:p w14:paraId="32D5F177" w14:textId="77777777" w:rsidR="003547A0" w:rsidRPr="00E352C9" w:rsidRDefault="003547A0" w:rsidP="003547A0">
      <w:pPr>
        <w:keepNext/>
        <w:keepLines/>
        <w:numPr>
          <w:ilvl w:val="0"/>
          <w:numId w:val="79"/>
        </w:numPr>
        <w:spacing w:after="60"/>
      </w:pPr>
      <w:r w:rsidRPr="00E352C9">
        <w:t>The court reversed the district court's dismissal of Locke's official capacity claim against the officers, which effectively targets Hubbard County. ​</w:t>
      </w:r>
    </w:p>
    <w:p w14:paraId="549D39AC" w14:textId="77777777" w:rsidR="003547A0" w:rsidRPr="00E352C9" w:rsidRDefault="003547A0" w:rsidP="003547A0">
      <w:pPr>
        <w:numPr>
          <w:ilvl w:val="0"/>
          <w:numId w:val="79"/>
        </w:numPr>
        <w:spacing w:after="60"/>
      </w:pPr>
      <w:r w:rsidRPr="00E352C9">
        <w:t xml:space="preserve">It noted that </w:t>
      </w:r>
      <w:r w:rsidRPr="00E352C9">
        <w:rPr>
          <w:highlight w:val="yellow"/>
        </w:rPr>
        <w:t>a county can be liable under § 1983 if a policy or custom inflicts injury, and the district court failed to consider whether the sheriff's actions constituted official policy.</w:t>
      </w:r>
      <w:r w:rsidRPr="00E352C9">
        <w:t xml:space="preserve"> ​</w:t>
      </w:r>
    </w:p>
    <w:p w14:paraId="2EBA545A" w14:textId="77777777" w:rsidR="003547A0" w:rsidRPr="00E352C9" w:rsidRDefault="003547A0" w:rsidP="003547A0">
      <w:pPr>
        <w:spacing w:after="60"/>
      </w:pPr>
      <w:r w:rsidRPr="00E352C9">
        <w:rPr>
          <w:b/>
          <w:bCs/>
        </w:rPr>
        <w:t>State Law Claims</w:t>
      </w:r>
    </w:p>
    <w:p w14:paraId="3D42C482" w14:textId="77777777" w:rsidR="003547A0" w:rsidRPr="00E352C9" w:rsidRDefault="003547A0" w:rsidP="003547A0">
      <w:pPr>
        <w:numPr>
          <w:ilvl w:val="0"/>
          <w:numId w:val="80"/>
        </w:numPr>
        <w:spacing w:after="60"/>
      </w:pPr>
      <w:r w:rsidRPr="00E352C9">
        <w:t xml:space="preserve">The </w:t>
      </w:r>
      <w:r w:rsidRPr="00E352C9">
        <w:rPr>
          <w:highlight w:val="yellow"/>
        </w:rPr>
        <w:t>court also reversed the dismissal of Locke's state law claims for assault and battery, stating that the officers were not entitled to official immunity because their actions were not legally reasonable. ​</w:t>
      </w:r>
    </w:p>
    <w:p w14:paraId="45797177" w14:textId="77777777" w:rsidR="003547A0" w:rsidRPr="00E352C9" w:rsidRDefault="003547A0" w:rsidP="003547A0">
      <w:pPr>
        <w:numPr>
          <w:ilvl w:val="0"/>
          <w:numId w:val="80"/>
        </w:numPr>
        <w:spacing w:after="60"/>
      </w:pPr>
      <w:r w:rsidRPr="00E352C9">
        <w:t xml:space="preserve">The </w:t>
      </w:r>
      <w:r w:rsidRPr="00E352C9">
        <w:rPr>
          <w:highlight w:val="yellow"/>
        </w:rPr>
        <w:t xml:space="preserve">court highlighted that official immunity does not protect officials from actions that are </w:t>
      </w:r>
      <w:r w:rsidRPr="00E352C9">
        <w:rPr>
          <w:b/>
          <w:bCs/>
          <w:highlight w:val="yellow"/>
        </w:rPr>
        <w:t>willful or malicious wrongs</w:t>
      </w:r>
      <w:r w:rsidRPr="00E352C9">
        <w:t>.</w:t>
      </w:r>
    </w:p>
    <w:p w14:paraId="5F02AB95" w14:textId="77777777" w:rsidR="003547A0" w:rsidRPr="00E352C9" w:rsidRDefault="003547A0" w:rsidP="003547A0">
      <w:pPr>
        <w:spacing w:after="60"/>
      </w:pPr>
      <w:r w:rsidRPr="00E352C9">
        <w:rPr>
          <w:b/>
          <w:bCs/>
          <w:highlight w:val="yellow"/>
        </w:rPr>
        <w:lastRenderedPageBreak/>
        <w:t>Dissenting Opinion</w:t>
      </w:r>
    </w:p>
    <w:p w14:paraId="047D6CAB" w14:textId="77777777" w:rsidR="003547A0" w:rsidRPr="00E352C9" w:rsidRDefault="003547A0" w:rsidP="003547A0">
      <w:pPr>
        <w:numPr>
          <w:ilvl w:val="0"/>
          <w:numId w:val="81"/>
        </w:numPr>
        <w:spacing w:after="60"/>
      </w:pPr>
      <w:r w:rsidRPr="00E352C9">
        <w:t xml:space="preserve">Circuit Judge Gruender dissented, </w:t>
      </w:r>
      <w:r w:rsidRPr="00E352C9">
        <w:rPr>
          <w:highlight w:val="yellow"/>
        </w:rPr>
        <w:t>arguing that the majority misapplied the law regarding qualified immunity. ​</w:t>
      </w:r>
    </w:p>
    <w:p w14:paraId="5ABE810F" w14:textId="77777777" w:rsidR="003547A0" w:rsidRPr="00E352C9" w:rsidRDefault="003547A0" w:rsidP="003547A0">
      <w:pPr>
        <w:numPr>
          <w:ilvl w:val="0"/>
          <w:numId w:val="81"/>
        </w:numPr>
        <w:spacing w:after="60"/>
      </w:pPr>
      <w:r w:rsidRPr="00E352C9">
        <w:rPr>
          <w:highlight w:val="yellow"/>
        </w:rPr>
        <w:t>He contended that the officers' actions were not clearly established as unconstitutional</w:t>
      </w:r>
      <w:r w:rsidRPr="00E352C9">
        <w:t>, citing differences in the factual circumstances of previous cases.</w:t>
      </w:r>
    </w:p>
    <w:p w14:paraId="596A0B58" w14:textId="77777777" w:rsidR="003547A0" w:rsidRPr="00E352C9" w:rsidRDefault="003547A0" w:rsidP="003547A0">
      <w:pPr>
        <w:numPr>
          <w:ilvl w:val="0"/>
          <w:numId w:val="81"/>
        </w:numPr>
        <w:spacing w:after="60"/>
      </w:pPr>
      <w:r w:rsidRPr="00E352C9">
        <w:t xml:space="preserve">The </w:t>
      </w:r>
      <w:r w:rsidRPr="00E352C9">
        <w:rPr>
          <w:highlight w:val="yellow"/>
        </w:rPr>
        <w:t>dissent emphasized that Locke's alleged resistance was more active than passive</w:t>
      </w:r>
      <w:r w:rsidRPr="00E352C9">
        <w:t xml:space="preserve"> and that the </w:t>
      </w:r>
      <w:r w:rsidRPr="00E352C9">
        <w:rPr>
          <w:highlight w:val="yellow"/>
        </w:rPr>
        <w:t>officers had reason to believe their actions were justified given the context of the protest</w:t>
      </w:r>
      <w:r w:rsidRPr="00E352C9">
        <w:t>.</w:t>
      </w:r>
    </w:p>
    <w:p w14:paraId="54420237" w14:textId="77777777" w:rsidR="003547A0" w:rsidRPr="00E352C9" w:rsidRDefault="003547A0" w:rsidP="003547A0">
      <w:pPr>
        <w:spacing w:after="60"/>
      </w:pPr>
      <w:r w:rsidRPr="00E352C9">
        <w:rPr>
          <w:b/>
          <w:bCs/>
        </w:rPr>
        <w:t>Conclusion</w:t>
      </w:r>
    </w:p>
    <w:p w14:paraId="035BCA41" w14:textId="77777777" w:rsidR="003547A0" w:rsidRPr="00E352C9" w:rsidRDefault="003547A0" w:rsidP="003547A0">
      <w:pPr>
        <w:numPr>
          <w:ilvl w:val="0"/>
          <w:numId w:val="82"/>
        </w:numPr>
        <w:rPr>
          <w:b/>
          <w:bCs/>
          <w:highlight w:val="yellow"/>
        </w:rPr>
      </w:pPr>
      <w:r w:rsidRPr="00E352C9">
        <w:t xml:space="preserve">The </w:t>
      </w:r>
      <w:r w:rsidRPr="00E352C9">
        <w:rPr>
          <w:highlight w:val="yellow"/>
        </w:rPr>
        <w:t xml:space="preserve">Eighth Circuit </w:t>
      </w:r>
      <w:r w:rsidRPr="00E352C9">
        <w:rPr>
          <w:b/>
          <w:bCs/>
          <w:highlight w:val="yellow"/>
        </w:rPr>
        <w:t>reversed</w:t>
      </w:r>
      <w:r w:rsidRPr="00E352C9">
        <w:rPr>
          <w:highlight w:val="yellow"/>
        </w:rPr>
        <w:t xml:space="preserve"> the district court's decisions regarding qualified immunity, official capacity claims, and state law claims, r</w:t>
      </w:r>
      <w:r w:rsidRPr="00E352C9">
        <w:rPr>
          <w:b/>
          <w:bCs/>
          <w:highlight w:val="yellow"/>
        </w:rPr>
        <w:t>emanding</w:t>
      </w:r>
      <w:r w:rsidRPr="00E352C9">
        <w:rPr>
          <w:highlight w:val="yellow"/>
        </w:rPr>
        <w:t xml:space="preserve"> the case for further proceedings</w:t>
      </w:r>
      <w:r w:rsidRPr="00E352C9">
        <w:t xml:space="preserve">. The </w:t>
      </w:r>
      <w:r w:rsidRPr="00E352C9">
        <w:rPr>
          <w:b/>
          <w:bCs/>
          <w:highlight w:val="yellow"/>
        </w:rPr>
        <w:t>court's ruling underscores the importance of evaluating the reasonableness of force used by law enforcement in nonviolent protest situations.</w:t>
      </w:r>
    </w:p>
    <w:p w14:paraId="736AE405" w14:textId="77777777" w:rsidR="003547A0" w:rsidRDefault="003547A0" w:rsidP="003547A0"/>
    <w:p w14:paraId="66BA8DCC" w14:textId="77777777" w:rsidR="003547A0" w:rsidRPr="00AF67FB" w:rsidRDefault="003547A0" w:rsidP="003547A0">
      <w:pPr>
        <w:spacing w:after="60"/>
      </w:pPr>
      <w:r w:rsidRPr="00AF67FB">
        <w:rPr>
          <w:b/>
          <w:bCs/>
          <w:highlight w:val="yellow"/>
        </w:rPr>
        <w:t>Legal Brief:</w:t>
      </w:r>
      <w:r w:rsidRPr="00AF67FB">
        <w:rPr>
          <w:b/>
          <w:bCs/>
        </w:rPr>
        <w:t xml:space="preserve"> </w:t>
      </w:r>
      <w:r w:rsidRPr="00AF67FB">
        <w:rPr>
          <w:b/>
          <w:bCs/>
          <w:i/>
          <w:iCs/>
        </w:rPr>
        <w:t>Locke v. County of Hubbard et al. ​</w:t>
      </w:r>
    </w:p>
    <w:p w14:paraId="1DDEC03A" w14:textId="77777777" w:rsidR="003547A0" w:rsidRPr="00AF67FB" w:rsidRDefault="003547A0" w:rsidP="003547A0">
      <w:pPr>
        <w:spacing w:after="60"/>
        <w:ind w:left="720" w:hanging="720"/>
      </w:pPr>
      <w:r w:rsidRPr="00AF67FB">
        <w:rPr>
          <w:b/>
          <w:bCs/>
        </w:rPr>
        <w:t>Court:</w:t>
      </w:r>
      <w:r w:rsidRPr="00AF67FB">
        <w:t xml:space="preserve"> United States Court of Appeals, Eighth Circuit ​ </w:t>
      </w:r>
      <w:r w:rsidRPr="00AF67FB">
        <w:rPr>
          <w:b/>
          <w:bCs/>
        </w:rPr>
        <w:t>Case No.:</w:t>
      </w:r>
      <w:r w:rsidRPr="00AF67FB">
        <w:t xml:space="preserve"> 24-1285 ​ </w:t>
      </w:r>
      <w:r w:rsidRPr="00AF67FB">
        <w:rPr>
          <w:b/>
          <w:bCs/>
        </w:rPr>
        <w:t>Date Filed:</w:t>
      </w:r>
      <w:r w:rsidRPr="00AF67FB">
        <w:t xml:space="preserve"> September 17, 2025 ​ </w:t>
      </w:r>
      <w:r w:rsidRPr="00AF67FB">
        <w:rPr>
          <w:b/>
          <w:bCs/>
        </w:rPr>
        <w:t>Judges:</w:t>
      </w:r>
      <w:r w:rsidRPr="00AF67FB">
        <w:t xml:space="preserve"> Gruender, Benton, and Kobes ​</w:t>
      </w:r>
    </w:p>
    <w:p w14:paraId="058120E1" w14:textId="77777777" w:rsidR="003547A0" w:rsidRPr="00AF67FB" w:rsidRDefault="003547A0" w:rsidP="003547A0">
      <w:pPr>
        <w:spacing w:after="60"/>
        <w:ind w:left="720" w:hanging="720"/>
      </w:pPr>
      <w:r w:rsidRPr="00AF67FB">
        <w:rPr>
          <w:b/>
          <w:bCs/>
        </w:rPr>
        <w:t>Facts:</w:t>
      </w:r>
      <w:r w:rsidRPr="00AF67FB">
        <w:t xml:space="preserve"> Matthew Locke, a protestor, sued Hubbard County, Sheriff Cory Aukes, and Chief Deputy Sheriff Scott Parks under 42 U.S.C. § 1983 and Minnesota law, alleging excessive force during his arrest at an oil pipeline protest. ​ Locke had locked his arms into a "sleeping dragon device" attached to construction equipment, requiring specialized tools for removal. Officers applied multiple pain compliance techniques to Locke's head and neck, resulting in facial paralysis (Bell's Palsy), tinnitus, and emotional distress. The district court dismissed the case, granting qualified and official immunity to the officers and rejecting municipal liability claims against Hubbard County. ​</w:t>
      </w:r>
    </w:p>
    <w:p w14:paraId="45D706DE" w14:textId="77777777" w:rsidR="003547A0" w:rsidRPr="00AF67FB" w:rsidRDefault="003547A0" w:rsidP="003547A0">
      <w:pPr>
        <w:spacing w:after="60"/>
        <w:ind w:left="720" w:hanging="720"/>
      </w:pPr>
      <w:r w:rsidRPr="00AF67FB">
        <w:rPr>
          <w:b/>
          <w:bCs/>
        </w:rPr>
        <w:t>Procedural History:</w:t>
      </w:r>
      <w:r w:rsidRPr="00AF67FB">
        <w:t xml:space="preserve"> The district court dismissed Locke's claims, holding that the officers were entitled to qualified and official immunity and that Locke failed to state a claim for municipal liability. ​ Locke appealed.</w:t>
      </w:r>
    </w:p>
    <w:p w14:paraId="652F5627" w14:textId="77777777" w:rsidR="003547A0" w:rsidRPr="00AF67FB" w:rsidRDefault="003547A0" w:rsidP="003547A0">
      <w:pPr>
        <w:keepNext/>
        <w:keepLines/>
        <w:spacing w:after="60"/>
      </w:pPr>
      <w:r w:rsidRPr="00AF67FB">
        <w:rPr>
          <w:b/>
          <w:bCs/>
        </w:rPr>
        <w:t>Issues:</w:t>
      </w:r>
    </w:p>
    <w:p w14:paraId="6408F866" w14:textId="77777777" w:rsidR="003547A0" w:rsidRPr="00AF67FB" w:rsidRDefault="003547A0" w:rsidP="003547A0">
      <w:pPr>
        <w:keepNext/>
        <w:keepLines/>
        <w:numPr>
          <w:ilvl w:val="0"/>
          <w:numId w:val="83"/>
        </w:numPr>
        <w:spacing w:after="60"/>
      </w:pPr>
      <w:r w:rsidRPr="00AF67FB">
        <w:t>Did the officers violate Locke's Fourth Amendment right to be free from excessive force? ​</w:t>
      </w:r>
    </w:p>
    <w:p w14:paraId="472E3FEA" w14:textId="77777777" w:rsidR="003547A0" w:rsidRPr="00AF67FB" w:rsidRDefault="003547A0" w:rsidP="003547A0">
      <w:pPr>
        <w:keepNext/>
        <w:keepLines/>
        <w:numPr>
          <w:ilvl w:val="0"/>
          <w:numId w:val="83"/>
        </w:numPr>
        <w:spacing w:after="60"/>
      </w:pPr>
      <w:r w:rsidRPr="00AF67FB">
        <w:t>Was the violated right clearly established at the time of the incident? ​</w:t>
      </w:r>
    </w:p>
    <w:p w14:paraId="5456CC33" w14:textId="77777777" w:rsidR="003547A0" w:rsidRPr="00AF67FB" w:rsidRDefault="003547A0" w:rsidP="003547A0">
      <w:pPr>
        <w:numPr>
          <w:ilvl w:val="0"/>
          <w:numId w:val="83"/>
        </w:numPr>
        <w:spacing w:after="60"/>
      </w:pPr>
      <w:r w:rsidRPr="00AF67FB">
        <w:t>Did Locke adequately plead municipal liability against Hubbard County? ​</w:t>
      </w:r>
    </w:p>
    <w:p w14:paraId="20E4925A" w14:textId="77777777" w:rsidR="003547A0" w:rsidRPr="00AF67FB" w:rsidRDefault="003547A0" w:rsidP="003547A0">
      <w:pPr>
        <w:numPr>
          <w:ilvl w:val="0"/>
          <w:numId w:val="83"/>
        </w:numPr>
        <w:spacing w:after="60"/>
      </w:pPr>
      <w:r w:rsidRPr="00AF67FB">
        <w:t>Were the officers entitled to official immunity under Minnesota law for state law claims of assault and battery? ​</w:t>
      </w:r>
    </w:p>
    <w:p w14:paraId="7BCF47A8" w14:textId="77777777" w:rsidR="003547A0" w:rsidRPr="00AF67FB" w:rsidRDefault="003547A0" w:rsidP="003547A0">
      <w:pPr>
        <w:spacing w:after="60"/>
      </w:pPr>
      <w:r w:rsidRPr="00AF67FB">
        <w:rPr>
          <w:b/>
          <w:bCs/>
        </w:rPr>
        <w:t>Holding:</w:t>
      </w:r>
      <w:r w:rsidRPr="00AF67FB">
        <w:t xml:space="preserve"> ​ The Eighth Circuit reversed the district court's dismissal, holding:</w:t>
      </w:r>
    </w:p>
    <w:p w14:paraId="59FCE460" w14:textId="77777777" w:rsidR="003547A0" w:rsidRPr="00AF67FB" w:rsidRDefault="003547A0" w:rsidP="003547A0">
      <w:pPr>
        <w:numPr>
          <w:ilvl w:val="0"/>
          <w:numId w:val="84"/>
        </w:numPr>
        <w:spacing w:after="60"/>
      </w:pPr>
      <w:r w:rsidRPr="00AF67FB">
        <w:t>Locke plausibly alleged a violation of his Fourth Amendment rights. ​</w:t>
      </w:r>
    </w:p>
    <w:p w14:paraId="55D229E4" w14:textId="77777777" w:rsidR="003547A0" w:rsidRPr="00AF67FB" w:rsidRDefault="003547A0" w:rsidP="003547A0">
      <w:pPr>
        <w:numPr>
          <w:ilvl w:val="0"/>
          <w:numId w:val="84"/>
        </w:numPr>
        <w:spacing w:after="60"/>
      </w:pPr>
      <w:r w:rsidRPr="00AF67FB">
        <w:t>The right to be free from more than de minimis force during a nonviolent arrest was clearly established. ​</w:t>
      </w:r>
    </w:p>
    <w:p w14:paraId="7A9DE2B2" w14:textId="77777777" w:rsidR="003547A0" w:rsidRPr="00AF67FB" w:rsidRDefault="003547A0" w:rsidP="003547A0">
      <w:pPr>
        <w:numPr>
          <w:ilvl w:val="0"/>
          <w:numId w:val="84"/>
        </w:numPr>
        <w:spacing w:after="60"/>
      </w:pPr>
      <w:r w:rsidRPr="00AF67FB">
        <w:t>Locke's official capacity claim against Hubbard County should be reconsidered under the final policymaker theory. ​</w:t>
      </w:r>
    </w:p>
    <w:p w14:paraId="160EC2D3" w14:textId="77777777" w:rsidR="003547A0" w:rsidRPr="00AF67FB" w:rsidRDefault="003547A0" w:rsidP="003547A0">
      <w:pPr>
        <w:numPr>
          <w:ilvl w:val="0"/>
          <w:numId w:val="84"/>
        </w:numPr>
        <w:spacing w:after="60"/>
      </w:pPr>
      <w:r w:rsidRPr="00AF67FB">
        <w:lastRenderedPageBreak/>
        <w:t>The officers were not entitled to official immunity for state law claims. ​</w:t>
      </w:r>
    </w:p>
    <w:p w14:paraId="4F54CB61" w14:textId="77777777" w:rsidR="003547A0" w:rsidRPr="00AF67FB" w:rsidRDefault="003547A0" w:rsidP="003547A0">
      <w:pPr>
        <w:spacing w:after="60"/>
      </w:pPr>
      <w:r w:rsidRPr="00AF67FB">
        <w:rPr>
          <w:b/>
          <w:bCs/>
        </w:rPr>
        <w:t>Reasoning:</w:t>
      </w:r>
    </w:p>
    <w:p w14:paraId="030B20F5" w14:textId="77777777" w:rsidR="003547A0" w:rsidRPr="00AF67FB" w:rsidRDefault="003547A0" w:rsidP="003547A0">
      <w:pPr>
        <w:numPr>
          <w:ilvl w:val="0"/>
          <w:numId w:val="85"/>
        </w:numPr>
        <w:spacing w:after="60"/>
      </w:pPr>
      <w:r w:rsidRPr="00AF67FB">
        <w:rPr>
          <w:b/>
          <w:bCs/>
        </w:rPr>
        <w:t>Constitutional Violation:</w:t>
      </w:r>
      <w:r w:rsidRPr="00AF67FB">
        <w:t xml:space="preserve"> ​</w:t>
      </w:r>
    </w:p>
    <w:p w14:paraId="5CFC0CE0" w14:textId="77777777" w:rsidR="003547A0" w:rsidRPr="00AF67FB" w:rsidRDefault="003547A0" w:rsidP="003547A0">
      <w:pPr>
        <w:numPr>
          <w:ilvl w:val="1"/>
          <w:numId w:val="85"/>
        </w:numPr>
        <w:spacing w:after="60"/>
      </w:pPr>
      <w:r w:rsidRPr="00AF67FB">
        <w:t xml:space="preserve">The court applied the objective reasonableness standard from </w:t>
      </w:r>
      <w:r w:rsidRPr="00AF67FB">
        <w:rPr>
          <w:i/>
          <w:iCs/>
        </w:rPr>
        <w:t>Graham v. Connor</w:t>
      </w:r>
      <w:r w:rsidRPr="00AF67FB">
        <w:t>, considering the severity of the crime, immediate threat to safety, and resistance to arrest. ​ Locke was suspected of nonviolent misdemeanors, posed no immediate threat, and passively resisted arrest. ​ The officers had time to consider alternatives, yet applied multiple pain compliance techniques causing severe injuries. This use of force was excessive and not objectively reasonable. ​</w:t>
      </w:r>
    </w:p>
    <w:p w14:paraId="4C86DE38" w14:textId="77777777" w:rsidR="003547A0" w:rsidRPr="00AF67FB" w:rsidRDefault="003547A0" w:rsidP="003547A0">
      <w:pPr>
        <w:numPr>
          <w:ilvl w:val="0"/>
          <w:numId w:val="85"/>
        </w:numPr>
        <w:spacing w:after="60"/>
      </w:pPr>
      <w:r w:rsidRPr="00AF67FB">
        <w:rPr>
          <w:b/>
          <w:bCs/>
        </w:rPr>
        <w:t>Clearly Established Law:</w:t>
      </w:r>
      <w:r w:rsidRPr="00AF67FB">
        <w:t xml:space="preserve"> ​</w:t>
      </w:r>
    </w:p>
    <w:p w14:paraId="6D07E9F3" w14:textId="77777777" w:rsidR="003547A0" w:rsidRPr="00AF67FB" w:rsidRDefault="003547A0" w:rsidP="003547A0">
      <w:pPr>
        <w:numPr>
          <w:ilvl w:val="1"/>
          <w:numId w:val="85"/>
        </w:numPr>
        <w:spacing w:after="60"/>
      </w:pPr>
      <w:r w:rsidRPr="00AF67FB">
        <w:t>The court relied on precedent (</w:t>
      </w:r>
      <w:r w:rsidRPr="00AF67FB">
        <w:rPr>
          <w:i/>
          <w:iCs/>
        </w:rPr>
        <w:t>Mitchell v. Kirchmeier</w:t>
      </w:r>
      <w:r w:rsidRPr="00AF67FB">
        <w:t xml:space="preserve">, </w:t>
      </w:r>
      <w:r w:rsidRPr="00AF67FB">
        <w:rPr>
          <w:i/>
          <w:iCs/>
        </w:rPr>
        <w:t>Poemoceah v. Morton County</w:t>
      </w:r>
      <w:r w:rsidRPr="00AF67FB">
        <w:t>) to conclude that it was clearly established that officers could use no more than de minimis force against nonviolent, passively resisting protestors. ​ Locke's injuries exceeded de minimis harm, and the officers' actions violated his clearly established rights. ​</w:t>
      </w:r>
    </w:p>
    <w:p w14:paraId="63A706C9" w14:textId="77777777" w:rsidR="003547A0" w:rsidRPr="00AF67FB" w:rsidRDefault="003547A0" w:rsidP="003547A0">
      <w:pPr>
        <w:numPr>
          <w:ilvl w:val="0"/>
          <w:numId w:val="85"/>
        </w:numPr>
        <w:spacing w:after="60"/>
      </w:pPr>
      <w:r w:rsidRPr="00AF67FB">
        <w:rPr>
          <w:b/>
          <w:bCs/>
        </w:rPr>
        <w:t>Municipal Liability:</w:t>
      </w:r>
      <w:r w:rsidRPr="00AF67FB">
        <w:t xml:space="preserve"> ​</w:t>
      </w:r>
    </w:p>
    <w:p w14:paraId="19BC426F" w14:textId="77777777" w:rsidR="003547A0" w:rsidRPr="00AF67FB" w:rsidRDefault="003547A0" w:rsidP="003547A0">
      <w:pPr>
        <w:numPr>
          <w:ilvl w:val="1"/>
          <w:numId w:val="85"/>
        </w:numPr>
        <w:spacing w:after="60"/>
      </w:pPr>
      <w:r w:rsidRPr="00AF67FB">
        <w:t xml:space="preserve">The district court failed to consider whether Sheriff Aukes, as the county's final policymaker for law enforcement, could establish municipal liability under </w:t>
      </w:r>
      <w:r w:rsidRPr="00AF67FB">
        <w:rPr>
          <w:i/>
          <w:iCs/>
        </w:rPr>
        <w:t>Monell v. Department of Social Services</w:t>
      </w:r>
      <w:r w:rsidRPr="00AF67FB">
        <w:t>. ​ The case was remanded for further consideration of this theory. ​</w:t>
      </w:r>
    </w:p>
    <w:p w14:paraId="664D6800" w14:textId="77777777" w:rsidR="003547A0" w:rsidRPr="00AF67FB" w:rsidRDefault="003547A0" w:rsidP="003547A0">
      <w:pPr>
        <w:numPr>
          <w:ilvl w:val="0"/>
          <w:numId w:val="85"/>
        </w:numPr>
        <w:spacing w:after="60"/>
      </w:pPr>
      <w:r w:rsidRPr="00AF67FB">
        <w:rPr>
          <w:b/>
          <w:bCs/>
        </w:rPr>
        <w:t>State Law Claims:</w:t>
      </w:r>
      <w:r w:rsidRPr="00AF67FB">
        <w:t xml:space="preserve"> ​</w:t>
      </w:r>
    </w:p>
    <w:p w14:paraId="429BB35F" w14:textId="77777777" w:rsidR="003547A0" w:rsidRPr="00AF67FB" w:rsidRDefault="003547A0" w:rsidP="003547A0">
      <w:pPr>
        <w:numPr>
          <w:ilvl w:val="1"/>
          <w:numId w:val="85"/>
        </w:numPr>
        <w:spacing w:after="60"/>
      </w:pPr>
      <w:r w:rsidRPr="00AF67FB">
        <w:t>Under Minnesota law, official immunity does not protect discretionary acts that are willful or malicious. ​ The officers' use of excessive force violated Locke's known rights, making their actions objectively unreasonable. ​ Consequently, the county was not entitled to vicarious official immunity. ​</w:t>
      </w:r>
    </w:p>
    <w:p w14:paraId="6A3D2883" w14:textId="77777777" w:rsidR="003547A0" w:rsidRPr="00AF67FB" w:rsidRDefault="003547A0" w:rsidP="003547A0">
      <w:pPr>
        <w:spacing w:after="60"/>
        <w:ind w:left="720" w:hanging="720"/>
      </w:pPr>
      <w:r w:rsidRPr="00AF67FB">
        <w:rPr>
          <w:b/>
          <w:bCs/>
        </w:rPr>
        <w:t>Disposition:</w:t>
      </w:r>
      <w:r w:rsidRPr="00AF67FB">
        <w:t xml:space="preserve"> The Eighth Circuit reversed and remanded the case for further proceedings. ​</w:t>
      </w:r>
    </w:p>
    <w:p w14:paraId="47482419" w14:textId="77777777" w:rsidR="003547A0" w:rsidRPr="00AF67FB" w:rsidRDefault="003547A0" w:rsidP="003547A0">
      <w:pPr>
        <w:spacing w:after="60"/>
        <w:ind w:left="720" w:hanging="720"/>
      </w:pPr>
      <w:r w:rsidRPr="00AF67FB">
        <w:rPr>
          <w:b/>
          <w:bCs/>
        </w:rPr>
        <w:t>Dissent:</w:t>
      </w:r>
      <w:r w:rsidRPr="00AF67FB">
        <w:t xml:space="preserve"> ​ Judge Gruender dissented, arguing that the officers were entitled to qualified immunity because the alleged conduct did not violate a clearly established right. ​ He emphasized that precedent relied upon by the majority was factually distinguishable and that the officers reasonably suspected Locke of felony theft, a serious crime. ​ Gruender also argued that the officers were entitled to official immunity under Minnesota law and that Locke failed to adequately plead municipal liability. ​</w:t>
      </w:r>
    </w:p>
    <w:p w14:paraId="359DAC3F" w14:textId="77777777" w:rsidR="003547A0" w:rsidRPr="00AF67FB" w:rsidRDefault="003547A0" w:rsidP="003547A0">
      <w:pPr>
        <w:spacing w:after="60"/>
      </w:pPr>
      <w:r w:rsidRPr="00AF67FB">
        <w:rPr>
          <w:b/>
          <w:bCs/>
        </w:rPr>
        <w:t>Key Citations:</w:t>
      </w:r>
    </w:p>
    <w:p w14:paraId="7CE5CC91" w14:textId="77777777" w:rsidR="003547A0" w:rsidRPr="00AF67FB" w:rsidRDefault="003547A0" w:rsidP="003547A0">
      <w:pPr>
        <w:numPr>
          <w:ilvl w:val="0"/>
          <w:numId w:val="86"/>
        </w:numPr>
        <w:spacing w:after="60"/>
      </w:pPr>
      <w:r w:rsidRPr="00AF67FB">
        <w:rPr>
          <w:i/>
          <w:iCs/>
        </w:rPr>
        <w:t>Graham v. Connor</w:t>
      </w:r>
      <w:r w:rsidRPr="00AF67FB">
        <w:t>, 490 U.S. 386 (1989) ​</w:t>
      </w:r>
    </w:p>
    <w:p w14:paraId="16E5D528" w14:textId="77777777" w:rsidR="003547A0" w:rsidRPr="00AF67FB" w:rsidRDefault="003547A0" w:rsidP="003547A0">
      <w:pPr>
        <w:numPr>
          <w:ilvl w:val="0"/>
          <w:numId w:val="86"/>
        </w:numPr>
        <w:spacing w:after="60"/>
      </w:pPr>
      <w:r w:rsidRPr="00AF67FB">
        <w:rPr>
          <w:i/>
          <w:iCs/>
        </w:rPr>
        <w:t>Mitchell v. Kirchmeier</w:t>
      </w:r>
      <w:r w:rsidRPr="00AF67FB">
        <w:t>, 28 F.4th 888 (8th Cir. 2022)</w:t>
      </w:r>
    </w:p>
    <w:p w14:paraId="0A2F2A63" w14:textId="77777777" w:rsidR="003547A0" w:rsidRPr="00AF67FB" w:rsidRDefault="003547A0" w:rsidP="003547A0">
      <w:pPr>
        <w:numPr>
          <w:ilvl w:val="0"/>
          <w:numId w:val="86"/>
        </w:numPr>
        <w:spacing w:after="60"/>
      </w:pPr>
      <w:r w:rsidRPr="00AF67FB">
        <w:rPr>
          <w:i/>
          <w:iCs/>
        </w:rPr>
        <w:t>Monell v. Department of Social Services</w:t>
      </w:r>
      <w:r w:rsidRPr="00AF67FB">
        <w:t>, 436 U.S. 658 (1978) ​</w:t>
      </w:r>
    </w:p>
    <w:p w14:paraId="4E79DD0C" w14:textId="77777777" w:rsidR="003547A0" w:rsidRPr="00AF67FB" w:rsidRDefault="003547A0" w:rsidP="003547A0">
      <w:pPr>
        <w:numPr>
          <w:ilvl w:val="0"/>
          <w:numId w:val="86"/>
        </w:numPr>
        <w:spacing w:after="60"/>
      </w:pPr>
      <w:r w:rsidRPr="00AF67FB">
        <w:rPr>
          <w:i/>
          <w:iCs/>
        </w:rPr>
        <w:t>Rico v. State</w:t>
      </w:r>
      <w:r w:rsidRPr="00AF67FB">
        <w:t>, 472 N.W.2d 100 (Minn. 1991) ​</w:t>
      </w:r>
    </w:p>
    <w:p w14:paraId="34220155" w14:textId="77777777" w:rsidR="003547A0" w:rsidRPr="00AF67FB" w:rsidRDefault="003547A0" w:rsidP="003547A0">
      <w:pPr>
        <w:ind w:left="720" w:hanging="720"/>
      </w:pPr>
      <w:r w:rsidRPr="00AF67FB">
        <w:rPr>
          <w:b/>
          <w:bCs/>
        </w:rPr>
        <w:t>Conclusion:</w:t>
      </w:r>
      <w:r w:rsidRPr="00AF67FB">
        <w:t xml:space="preserve"> The Eighth Circuit's decision underscores the importance of limiting force to de minimis levels during arrests of nonviolent, passively resisting individuals </w:t>
      </w:r>
      <w:r w:rsidRPr="00AF67FB">
        <w:lastRenderedPageBreak/>
        <w:t>and clarifies the standards for municipal liability and official immunity in excessive force cases. ​</w:t>
      </w:r>
    </w:p>
    <w:p w14:paraId="258F69A1" w14:textId="77777777" w:rsidR="003547A0" w:rsidRDefault="003547A0" w:rsidP="00480205"/>
    <w:sectPr w:rsidR="003547A0" w:rsidSect="0038125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F8924" w14:textId="77777777" w:rsidR="00301FB4" w:rsidRDefault="00301FB4" w:rsidP="00480205">
      <w:r>
        <w:separator/>
      </w:r>
    </w:p>
  </w:endnote>
  <w:endnote w:type="continuationSeparator" w:id="0">
    <w:p w14:paraId="0567294D" w14:textId="77777777" w:rsidR="00301FB4" w:rsidRDefault="00301FB4" w:rsidP="0048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3F27" w14:textId="77777777" w:rsidR="002F5D97" w:rsidRDefault="002F5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8BC8" w14:textId="16D13DC9" w:rsidR="00480205" w:rsidRPr="002F5D97" w:rsidRDefault="00480205">
    <w:pPr>
      <w:pStyle w:val="Footer"/>
      <w:rPr>
        <w:sz w:val="20"/>
        <w:szCs w:val="20"/>
      </w:rPr>
    </w:pPr>
    <w:r w:rsidRPr="002F5D97">
      <w:rPr>
        <w:sz w:val="20"/>
        <w:szCs w:val="20"/>
      </w:rPr>
      <w:t>1</w:t>
    </w:r>
    <w:r w:rsidR="002F5D97">
      <w:rPr>
        <w:sz w:val="20"/>
        <w:szCs w:val="20"/>
      </w:rPr>
      <w:t>8</w:t>
    </w:r>
    <w:r w:rsidRPr="002F5D97">
      <w:rPr>
        <w:sz w:val="20"/>
        <w:szCs w:val="20"/>
      </w:rPr>
      <w:t xml:space="preserve"> </w:t>
    </w:r>
    <w:r w:rsidR="002F5D97">
      <w:rPr>
        <w:sz w:val="20"/>
        <w:szCs w:val="20"/>
      </w:rPr>
      <w:t>Sept.</w:t>
    </w:r>
    <w:r w:rsidRPr="002F5D97">
      <w:rPr>
        <w:sz w:val="20"/>
        <w:szCs w:val="20"/>
      </w:rPr>
      <w:t xml:space="preserve"> 2025</w:t>
    </w:r>
    <w:r w:rsidRPr="002F5D97">
      <w:rPr>
        <w:sz w:val="20"/>
        <w:szCs w:val="20"/>
      </w:rPr>
      <w:ptab w:relativeTo="margin" w:alignment="center" w:leader="none"/>
    </w:r>
    <w:r w:rsidR="002F5D97" w:rsidRPr="002F5D97">
      <w:rPr>
        <w:i/>
        <w:iCs/>
        <w:sz w:val="20"/>
        <w:szCs w:val="20"/>
      </w:rPr>
      <w:t>Locke v. Cnty. of Hubbard</w:t>
    </w:r>
    <w:r w:rsidR="002F5D97" w:rsidRPr="002F5D97">
      <w:rPr>
        <w:sz w:val="20"/>
        <w:szCs w:val="20"/>
      </w:rPr>
      <w:t>, --- F.4th --- (8th Cir. [D.MN] Sept. 17, 2025)</w:t>
    </w:r>
    <w:r w:rsidR="0048552E" w:rsidRPr="002F5D97">
      <w:rPr>
        <w:sz w:val="20"/>
        <w:szCs w:val="20"/>
      </w:rPr>
      <w:t xml:space="preserve"> </w:t>
    </w:r>
    <w:r w:rsidRPr="002F5D97">
      <w:rPr>
        <w:sz w:val="20"/>
        <w:szCs w:val="20"/>
      </w:rPr>
      <w:ptab w:relativeTo="margin" w:alignment="right" w:leader="none"/>
    </w:r>
    <w:r w:rsidRPr="002F5D97">
      <w:rPr>
        <w:sz w:val="20"/>
        <w:szCs w:val="20"/>
      </w:rPr>
      <w:t xml:space="preserve">Page </w:t>
    </w:r>
    <w:r w:rsidRPr="002F5D97">
      <w:rPr>
        <w:b/>
        <w:bCs/>
        <w:sz w:val="20"/>
        <w:szCs w:val="20"/>
      </w:rPr>
      <w:fldChar w:fldCharType="begin"/>
    </w:r>
    <w:r w:rsidRPr="002F5D97">
      <w:rPr>
        <w:b/>
        <w:bCs/>
        <w:sz w:val="20"/>
        <w:szCs w:val="20"/>
      </w:rPr>
      <w:instrText xml:space="preserve"> PAGE  \* Arabic  \* MERGEFORMAT </w:instrText>
    </w:r>
    <w:r w:rsidRPr="002F5D97">
      <w:rPr>
        <w:b/>
        <w:bCs/>
        <w:sz w:val="20"/>
        <w:szCs w:val="20"/>
      </w:rPr>
      <w:fldChar w:fldCharType="separate"/>
    </w:r>
    <w:r w:rsidRPr="002F5D97">
      <w:rPr>
        <w:b/>
        <w:bCs/>
        <w:noProof/>
        <w:sz w:val="20"/>
        <w:szCs w:val="20"/>
      </w:rPr>
      <w:t>1</w:t>
    </w:r>
    <w:r w:rsidRPr="002F5D97">
      <w:rPr>
        <w:b/>
        <w:bCs/>
        <w:sz w:val="20"/>
        <w:szCs w:val="20"/>
      </w:rPr>
      <w:fldChar w:fldCharType="end"/>
    </w:r>
    <w:r w:rsidRPr="002F5D97">
      <w:rPr>
        <w:sz w:val="20"/>
        <w:szCs w:val="20"/>
      </w:rPr>
      <w:t xml:space="preserve"> of </w:t>
    </w:r>
    <w:r w:rsidRPr="002F5D97">
      <w:rPr>
        <w:b/>
        <w:bCs/>
        <w:sz w:val="20"/>
        <w:szCs w:val="20"/>
      </w:rPr>
      <w:fldChar w:fldCharType="begin"/>
    </w:r>
    <w:r w:rsidRPr="002F5D97">
      <w:rPr>
        <w:b/>
        <w:bCs/>
        <w:sz w:val="20"/>
        <w:szCs w:val="20"/>
      </w:rPr>
      <w:instrText xml:space="preserve"> NUMPAGES  \* Arabic  \* MERGEFORMAT </w:instrText>
    </w:r>
    <w:r w:rsidRPr="002F5D97">
      <w:rPr>
        <w:b/>
        <w:bCs/>
        <w:sz w:val="20"/>
        <w:szCs w:val="20"/>
      </w:rPr>
      <w:fldChar w:fldCharType="separate"/>
    </w:r>
    <w:r w:rsidRPr="002F5D97">
      <w:rPr>
        <w:b/>
        <w:bCs/>
        <w:noProof/>
        <w:sz w:val="20"/>
        <w:szCs w:val="20"/>
      </w:rPr>
      <w:t>2</w:t>
    </w:r>
    <w:r w:rsidRPr="002F5D97">
      <w:rPr>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0977" w14:textId="77777777" w:rsidR="002F5D97" w:rsidRDefault="002F5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F3082" w14:textId="77777777" w:rsidR="00301FB4" w:rsidRDefault="00301FB4" w:rsidP="00480205">
      <w:r>
        <w:separator/>
      </w:r>
    </w:p>
  </w:footnote>
  <w:footnote w:type="continuationSeparator" w:id="0">
    <w:p w14:paraId="67314C65" w14:textId="77777777" w:rsidR="00301FB4" w:rsidRDefault="00301FB4" w:rsidP="00480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8C12" w14:textId="77777777" w:rsidR="002F5D97" w:rsidRDefault="002F5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D62E" w14:textId="77777777" w:rsidR="002F5D97" w:rsidRDefault="002F5D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31F2" w14:textId="77777777" w:rsidR="002F5D97" w:rsidRDefault="002F5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670"/>
    <w:multiLevelType w:val="multilevel"/>
    <w:tmpl w:val="FBEA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81DB9"/>
    <w:multiLevelType w:val="multilevel"/>
    <w:tmpl w:val="D1E4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46A3C"/>
    <w:multiLevelType w:val="multilevel"/>
    <w:tmpl w:val="B8809AB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70F7C05"/>
    <w:multiLevelType w:val="multilevel"/>
    <w:tmpl w:val="5B6C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E6FEC"/>
    <w:multiLevelType w:val="multilevel"/>
    <w:tmpl w:val="079A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B83C4C"/>
    <w:multiLevelType w:val="multilevel"/>
    <w:tmpl w:val="CB1C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CB144B"/>
    <w:multiLevelType w:val="multilevel"/>
    <w:tmpl w:val="6F28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3F112F"/>
    <w:multiLevelType w:val="multilevel"/>
    <w:tmpl w:val="C9AC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0C4E66"/>
    <w:multiLevelType w:val="multilevel"/>
    <w:tmpl w:val="D2A80B5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096B7854"/>
    <w:multiLevelType w:val="multilevel"/>
    <w:tmpl w:val="2096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1B6C33"/>
    <w:multiLevelType w:val="multilevel"/>
    <w:tmpl w:val="6C7E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263DEA"/>
    <w:multiLevelType w:val="multilevel"/>
    <w:tmpl w:val="1A44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EF4FD6"/>
    <w:multiLevelType w:val="multilevel"/>
    <w:tmpl w:val="219C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2F59D0"/>
    <w:multiLevelType w:val="multilevel"/>
    <w:tmpl w:val="8A04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0731F8"/>
    <w:multiLevelType w:val="multilevel"/>
    <w:tmpl w:val="893E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360343"/>
    <w:multiLevelType w:val="multilevel"/>
    <w:tmpl w:val="BB46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E30D0D"/>
    <w:multiLevelType w:val="multilevel"/>
    <w:tmpl w:val="96E8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3E2CF8"/>
    <w:multiLevelType w:val="multilevel"/>
    <w:tmpl w:val="C804FDE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17030B0F"/>
    <w:multiLevelType w:val="multilevel"/>
    <w:tmpl w:val="CA7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625A69"/>
    <w:multiLevelType w:val="multilevel"/>
    <w:tmpl w:val="7F20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B75BB1"/>
    <w:multiLevelType w:val="multilevel"/>
    <w:tmpl w:val="C4BA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F22FE6"/>
    <w:multiLevelType w:val="multilevel"/>
    <w:tmpl w:val="81AC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FD423F"/>
    <w:multiLevelType w:val="multilevel"/>
    <w:tmpl w:val="7538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840CE7"/>
    <w:multiLevelType w:val="multilevel"/>
    <w:tmpl w:val="5FEE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5D663D"/>
    <w:multiLevelType w:val="multilevel"/>
    <w:tmpl w:val="1286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F23E16"/>
    <w:multiLevelType w:val="multilevel"/>
    <w:tmpl w:val="427E5A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24115F75"/>
    <w:multiLevelType w:val="multilevel"/>
    <w:tmpl w:val="C5AE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615D54"/>
    <w:multiLevelType w:val="multilevel"/>
    <w:tmpl w:val="45D8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AA59AB"/>
    <w:multiLevelType w:val="multilevel"/>
    <w:tmpl w:val="7E4A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B55CF5"/>
    <w:multiLevelType w:val="multilevel"/>
    <w:tmpl w:val="CD46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761F66"/>
    <w:multiLevelType w:val="multilevel"/>
    <w:tmpl w:val="ACB2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616744"/>
    <w:multiLevelType w:val="multilevel"/>
    <w:tmpl w:val="F400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EB6E96"/>
    <w:multiLevelType w:val="multilevel"/>
    <w:tmpl w:val="7C24103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2EB75E28"/>
    <w:multiLevelType w:val="multilevel"/>
    <w:tmpl w:val="D002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793C79"/>
    <w:multiLevelType w:val="multilevel"/>
    <w:tmpl w:val="79E4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31577B"/>
    <w:multiLevelType w:val="multilevel"/>
    <w:tmpl w:val="BF34D0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135003A"/>
    <w:multiLevelType w:val="multilevel"/>
    <w:tmpl w:val="C958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2407DC8"/>
    <w:multiLevelType w:val="multilevel"/>
    <w:tmpl w:val="5A8E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28729CE"/>
    <w:multiLevelType w:val="multilevel"/>
    <w:tmpl w:val="F804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2F071D5"/>
    <w:multiLevelType w:val="multilevel"/>
    <w:tmpl w:val="A0A8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377CEA"/>
    <w:multiLevelType w:val="multilevel"/>
    <w:tmpl w:val="C804FDE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37BB376A"/>
    <w:multiLevelType w:val="multilevel"/>
    <w:tmpl w:val="2F96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3418AF"/>
    <w:multiLevelType w:val="multilevel"/>
    <w:tmpl w:val="3D24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F612196"/>
    <w:multiLevelType w:val="multilevel"/>
    <w:tmpl w:val="71C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0444286"/>
    <w:multiLevelType w:val="multilevel"/>
    <w:tmpl w:val="909C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2A62115"/>
    <w:multiLevelType w:val="multilevel"/>
    <w:tmpl w:val="D3F4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34A3255"/>
    <w:multiLevelType w:val="multilevel"/>
    <w:tmpl w:val="63E2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4CB6799"/>
    <w:multiLevelType w:val="multilevel"/>
    <w:tmpl w:val="5554E30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15:restartNumberingAfterBreak="0">
    <w:nsid w:val="44EB327A"/>
    <w:multiLevelType w:val="multilevel"/>
    <w:tmpl w:val="6D7212B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45017C4F"/>
    <w:multiLevelType w:val="multilevel"/>
    <w:tmpl w:val="7B2E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64D4075"/>
    <w:multiLevelType w:val="multilevel"/>
    <w:tmpl w:val="2C5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72773ED"/>
    <w:multiLevelType w:val="multilevel"/>
    <w:tmpl w:val="23AA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9545651"/>
    <w:multiLevelType w:val="multilevel"/>
    <w:tmpl w:val="3794B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C727A2F"/>
    <w:multiLevelType w:val="multilevel"/>
    <w:tmpl w:val="4FE4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DD64FD4"/>
    <w:multiLevelType w:val="multilevel"/>
    <w:tmpl w:val="5BE6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E5E3B82"/>
    <w:multiLevelType w:val="multilevel"/>
    <w:tmpl w:val="399C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EA71368"/>
    <w:multiLevelType w:val="multilevel"/>
    <w:tmpl w:val="3B5E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F7C19E2"/>
    <w:multiLevelType w:val="multilevel"/>
    <w:tmpl w:val="442E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0366C0B"/>
    <w:multiLevelType w:val="multilevel"/>
    <w:tmpl w:val="6032C9D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9" w15:restartNumberingAfterBreak="0">
    <w:nsid w:val="51183CE7"/>
    <w:multiLevelType w:val="multilevel"/>
    <w:tmpl w:val="4074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184686"/>
    <w:multiLevelType w:val="multilevel"/>
    <w:tmpl w:val="953E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7E524B"/>
    <w:multiLevelType w:val="multilevel"/>
    <w:tmpl w:val="7700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3A06DFD"/>
    <w:multiLevelType w:val="multilevel"/>
    <w:tmpl w:val="BEDC95D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3" w15:restartNumberingAfterBreak="0">
    <w:nsid w:val="54C71FF9"/>
    <w:multiLevelType w:val="multilevel"/>
    <w:tmpl w:val="8B12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4DF2EDE"/>
    <w:multiLevelType w:val="multilevel"/>
    <w:tmpl w:val="5622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5F72539"/>
    <w:multiLevelType w:val="multilevel"/>
    <w:tmpl w:val="4B1263B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6" w15:restartNumberingAfterBreak="0">
    <w:nsid w:val="59E6111F"/>
    <w:multiLevelType w:val="multilevel"/>
    <w:tmpl w:val="ECA6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A5E0D09"/>
    <w:multiLevelType w:val="multilevel"/>
    <w:tmpl w:val="7D547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C0E4551"/>
    <w:multiLevelType w:val="multilevel"/>
    <w:tmpl w:val="F71EFE6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9" w15:restartNumberingAfterBreak="0">
    <w:nsid w:val="5D014C78"/>
    <w:multiLevelType w:val="multilevel"/>
    <w:tmpl w:val="AAF6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D530A02"/>
    <w:multiLevelType w:val="multilevel"/>
    <w:tmpl w:val="36C6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D7354F5"/>
    <w:multiLevelType w:val="multilevel"/>
    <w:tmpl w:val="0FB0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D780687"/>
    <w:multiLevelType w:val="multilevel"/>
    <w:tmpl w:val="20DC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E7C1013"/>
    <w:multiLevelType w:val="multilevel"/>
    <w:tmpl w:val="A1C6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EB03FB9"/>
    <w:multiLevelType w:val="multilevel"/>
    <w:tmpl w:val="AC00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FFD3584"/>
    <w:multiLevelType w:val="multilevel"/>
    <w:tmpl w:val="7E88CD0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6" w15:restartNumberingAfterBreak="0">
    <w:nsid w:val="60667E67"/>
    <w:multiLevelType w:val="multilevel"/>
    <w:tmpl w:val="33D8760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7" w15:restartNumberingAfterBreak="0">
    <w:nsid w:val="617A6291"/>
    <w:multiLevelType w:val="multilevel"/>
    <w:tmpl w:val="4CE8D4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4317D8C"/>
    <w:multiLevelType w:val="hybridMultilevel"/>
    <w:tmpl w:val="4044FE3C"/>
    <w:lvl w:ilvl="0" w:tplc="D53A9A3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4607903"/>
    <w:multiLevelType w:val="multilevel"/>
    <w:tmpl w:val="7470754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0" w15:restartNumberingAfterBreak="0">
    <w:nsid w:val="66812D94"/>
    <w:multiLevelType w:val="multilevel"/>
    <w:tmpl w:val="75D8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6AB00F0"/>
    <w:multiLevelType w:val="multilevel"/>
    <w:tmpl w:val="29A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DF7145"/>
    <w:multiLevelType w:val="multilevel"/>
    <w:tmpl w:val="6962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B0C04B1"/>
    <w:multiLevelType w:val="multilevel"/>
    <w:tmpl w:val="5A42EA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4" w15:restartNumberingAfterBreak="0">
    <w:nsid w:val="6FAD0AD5"/>
    <w:multiLevelType w:val="multilevel"/>
    <w:tmpl w:val="878E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737595A"/>
    <w:multiLevelType w:val="multilevel"/>
    <w:tmpl w:val="1372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AB71EF0"/>
    <w:multiLevelType w:val="multilevel"/>
    <w:tmpl w:val="1BDAE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BAB15A4"/>
    <w:multiLevelType w:val="multilevel"/>
    <w:tmpl w:val="C1AC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DF16125"/>
    <w:multiLevelType w:val="multilevel"/>
    <w:tmpl w:val="2C8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EBE1F2A"/>
    <w:multiLevelType w:val="multilevel"/>
    <w:tmpl w:val="69AE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F2A419C"/>
    <w:multiLevelType w:val="multilevel"/>
    <w:tmpl w:val="9F12EEE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1" w15:restartNumberingAfterBreak="0">
    <w:nsid w:val="7F2F04FF"/>
    <w:multiLevelType w:val="multilevel"/>
    <w:tmpl w:val="9254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F9A1704"/>
    <w:multiLevelType w:val="multilevel"/>
    <w:tmpl w:val="6C08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0868185">
    <w:abstractNumId w:val="55"/>
  </w:num>
  <w:num w:numId="2" w16cid:durableId="1429039229">
    <w:abstractNumId w:val="38"/>
  </w:num>
  <w:num w:numId="3" w16cid:durableId="2004239348">
    <w:abstractNumId w:val="71"/>
  </w:num>
  <w:num w:numId="4" w16cid:durableId="947464388">
    <w:abstractNumId w:val="41"/>
  </w:num>
  <w:num w:numId="5" w16cid:durableId="273951260">
    <w:abstractNumId w:val="22"/>
  </w:num>
  <w:num w:numId="6" w16cid:durableId="1366714055">
    <w:abstractNumId w:val="26"/>
  </w:num>
  <w:num w:numId="7" w16cid:durableId="348415607">
    <w:abstractNumId w:val="37"/>
  </w:num>
  <w:num w:numId="8" w16cid:durableId="1612543540">
    <w:abstractNumId w:val="31"/>
  </w:num>
  <w:num w:numId="9" w16cid:durableId="436364079">
    <w:abstractNumId w:val="84"/>
  </w:num>
  <w:num w:numId="10" w16cid:durableId="1993757717">
    <w:abstractNumId w:val="70"/>
  </w:num>
  <w:num w:numId="11" w16cid:durableId="645860872">
    <w:abstractNumId w:val="8"/>
  </w:num>
  <w:num w:numId="12" w16cid:durableId="1049956564">
    <w:abstractNumId w:val="40"/>
  </w:num>
  <w:num w:numId="13" w16cid:durableId="1285382149">
    <w:abstractNumId w:val="68"/>
  </w:num>
  <w:num w:numId="14" w16cid:durableId="1914393944">
    <w:abstractNumId w:val="76"/>
  </w:num>
  <w:num w:numId="15" w16cid:durableId="1390112883">
    <w:abstractNumId w:val="17"/>
  </w:num>
  <w:num w:numId="16" w16cid:durableId="547179876">
    <w:abstractNumId w:val="9"/>
  </w:num>
  <w:num w:numId="17" w16cid:durableId="930700198">
    <w:abstractNumId w:val="44"/>
  </w:num>
  <w:num w:numId="18" w16cid:durableId="1074279932">
    <w:abstractNumId w:val="50"/>
  </w:num>
  <w:num w:numId="19" w16cid:durableId="1580868284">
    <w:abstractNumId w:val="56"/>
  </w:num>
  <w:num w:numId="20" w16cid:durableId="671027497">
    <w:abstractNumId w:val="51"/>
  </w:num>
  <w:num w:numId="21" w16cid:durableId="1559240721">
    <w:abstractNumId w:val="88"/>
  </w:num>
  <w:num w:numId="22" w16cid:durableId="741754566">
    <w:abstractNumId w:val="81"/>
  </w:num>
  <w:num w:numId="23" w16cid:durableId="146170795">
    <w:abstractNumId w:val="57"/>
  </w:num>
  <w:num w:numId="24" w16cid:durableId="63646796">
    <w:abstractNumId w:val="61"/>
  </w:num>
  <w:num w:numId="25" w16cid:durableId="1757895171">
    <w:abstractNumId w:val="29"/>
  </w:num>
  <w:num w:numId="26" w16cid:durableId="703599590">
    <w:abstractNumId w:val="86"/>
  </w:num>
  <w:num w:numId="27" w16cid:durableId="812990786">
    <w:abstractNumId w:val="13"/>
  </w:num>
  <w:num w:numId="28" w16cid:durableId="266813231">
    <w:abstractNumId w:val="36"/>
  </w:num>
  <w:num w:numId="29" w16cid:durableId="1524174414">
    <w:abstractNumId w:val="27"/>
  </w:num>
  <w:num w:numId="30" w16cid:durableId="1760323212">
    <w:abstractNumId w:val="90"/>
  </w:num>
  <w:num w:numId="31" w16cid:durableId="1235167756">
    <w:abstractNumId w:val="66"/>
  </w:num>
  <w:num w:numId="32" w16cid:durableId="1275945463">
    <w:abstractNumId w:val="59"/>
  </w:num>
  <w:num w:numId="33" w16cid:durableId="576135915">
    <w:abstractNumId w:val="6"/>
  </w:num>
  <w:num w:numId="34" w16cid:durableId="523590731">
    <w:abstractNumId w:val="49"/>
  </w:num>
  <w:num w:numId="35" w16cid:durableId="1461147285">
    <w:abstractNumId w:val="0"/>
  </w:num>
  <w:num w:numId="36" w16cid:durableId="545874934">
    <w:abstractNumId w:val="63"/>
  </w:num>
  <w:num w:numId="37" w16cid:durableId="1502044862">
    <w:abstractNumId w:val="16"/>
  </w:num>
  <w:num w:numId="38" w16cid:durableId="2038697329">
    <w:abstractNumId w:val="69"/>
  </w:num>
  <w:num w:numId="39" w16cid:durableId="800265309">
    <w:abstractNumId w:val="3"/>
  </w:num>
  <w:num w:numId="40" w16cid:durableId="1296989444">
    <w:abstractNumId w:val="85"/>
  </w:num>
  <w:num w:numId="41" w16cid:durableId="1430731179">
    <w:abstractNumId w:val="62"/>
  </w:num>
  <w:num w:numId="42" w16cid:durableId="1663046160">
    <w:abstractNumId w:val="11"/>
  </w:num>
  <w:num w:numId="43" w16cid:durableId="1993214880">
    <w:abstractNumId w:val="14"/>
  </w:num>
  <w:num w:numId="44" w16cid:durableId="2024745780">
    <w:abstractNumId w:val="19"/>
  </w:num>
  <w:num w:numId="45" w16cid:durableId="498888172">
    <w:abstractNumId w:val="21"/>
  </w:num>
  <w:num w:numId="46" w16cid:durableId="1574074711">
    <w:abstractNumId w:val="79"/>
  </w:num>
  <w:num w:numId="47" w16cid:durableId="621692524">
    <w:abstractNumId w:val="25"/>
  </w:num>
  <w:num w:numId="48" w16cid:durableId="1567300796">
    <w:abstractNumId w:val="83"/>
  </w:num>
  <w:num w:numId="49" w16cid:durableId="843129911">
    <w:abstractNumId w:val="74"/>
  </w:num>
  <w:num w:numId="50" w16cid:durableId="1128671488">
    <w:abstractNumId w:val="23"/>
  </w:num>
  <w:num w:numId="51" w16cid:durableId="945580000">
    <w:abstractNumId w:val="34"/>
  </w:num>
  <w:num w:numId="52" w16cid:durableId="1113673215">
    <w:abstractNumId w:val="60"/>
  </w:num>
  <w:num w:numId="53" w16cid:durableId="1435249369">
    <w:abstractNumId w:val="7"/>
  </w:num>
  <w:num w:numId="54" w16cid:durableId="1784692054">
    <w:abstractNumId w:val="18"/>
  </w:num>
  <w:num w:numId="55" w16cid:durableId="1045717275">
    <w:abstractNumId w:val="78"/>
  </w:num>
  <w:num w:numId="56" w16cid:durableId="183442353">
    <w:abstractNumId w:val="43"/>
  </w:num>
  <w:num w:numId="57" w16cid:durableId="1087071253">
    <w:abstractNumId w:val="87"/>
  </w:num>
  <w:num w:numId="58" w16cid:durableId="728843317">
    <w:abstractNumId w:val="53"/>
  </w:num>
  <w:num w:numId="59" w16cid:durableId="1593858484">
    <w:abstractNumId w:val="5"/>
  </w:num>
  <w:num w:numId="60" w16cid:durableId="890726684">
    <w:abstractNumId w:val="28"/>
  </w:num>
  <w:num w:numId="61" w16cid:durableId="681202257">
    <w:abstractNumId w:val="20"/>
  </w:num>
  <w:num w:numId="62" w16cid:durableId="197815407">
    <w:abstractNumId w:val="30"/>
  </w:num>
  <w:num w:numId="63" w16cid:durableId="260648562">
    <w:abstractNumId w:val="33"/>
  </w:num>
  <w:num w:numId="64" w16cid:durableId="710305989">
    <w:abstractNumId w:val="12"/>
  </w:num>
  <w:num w:numId="65" w16cid:durableId="407382707">
    <w:abstractNumId w:val="24"/>
  </w:num>
  <w:num w:numId="66" w16cid:durableId="1502772824">
    <w:abstractNumId w:val="64"/>
  </w:num>
  <w:num w:numId="67" w16cid:durableId="978344735">
    <w:abstractNumId w:val="54"/>
  </w:num>
  <w:num w:numId="68" w16cid:durableId="737557859">
    <w:abstractNumId w:val="4"/>
  </w:num>
  <w:num w:numId="69" w16cid:durableId="1371226237">
    <w:abstractNumId w:val="2"/>
  </w:num>
  <w:num w:numId="70" w16cid:durableId="296106499">
    <w:abstractNumId w:val="47"/>
  </w:num>
  <w:num w:numId="71" w16cid:durableId="571699981">
    <w:abstractNumId w:val="32"/>
  </w:num>
  <w:num w:numId="72" w16cid:durableId="1120876039">
    <w:abstractNumId w:val="75"/>
  </w:num>
  <w:num w:numId="73" w16cid:durableId="655301372">
    <w:abstractNumId w:val="48"/>
  </w:num>
  <w:num w:numId="74" w16cid:durableId="1234193024">
    <w:abstractNumId w:val="82"/>
  </w:num>
  <w:num w:numId="75" w16cid:durableId="1309162894">
    <w:abstractNumId w:val="46"/>
  </w:num>
  <w:num w:numId="76" w16cid:durableId="1260799532">
    <w:abstractNumId w:val="39"/>
  </w:num>
  <w:num w:numId="77" w16cid:durableId="561793522">
    <w:abstractNumId w:val="42"/>
  </w:num>
  <w:num w:numId="78" w16cid:durableId="2033529852">
    <w:abstractNumId w:val="10"/>
  </w:num>
  <w:num w:numId="79" w16cid:durableId="1359887302">
    <w:abstractNumId w:val="1"/>
  </w:num>
  <w:num w:numId="80" w16cid:durableId="1088621351">
    <w:abstractNumId w:val="80"/>
  </w:num>
  <w:num w:numId="81" w16cid:durableId="1756511425">
    <w:abstractNumId w:val="91"/>
  </w:num>
  <w:num w:numId="82" w16cid:durableId="823665823">
    <w:abstractNumId w:val="89"/>
  </w:num>
  <w:num w:numId="83" w16cid:durableId="1634749086">
    <w:abstractNumId w:val="67"/>
  </w:num>
  <w:num w:numId="84" w16cid:durableId="1078406357">
    <w:abstractNumId w:val="52"/>
  </w:num>
  <w:num w:numId="85" w16cid:durableId="1192769152">
    <w:abstractNumId w:val="35"/>
  </w:num>
  <w:num w:numId="86" w16cid:durableId="1884557848">
    <w:abstractNumId w:val="15"/>
  </w:num>
  <w:num w:numId="87" w16cid:durableId="288437032">
    <w:abstractNumId w:val="65"/>
  </w:num>
  <w:num w:numId="88" w16cid:durableId="1822842794">
    <w:abstractNumId w:val="73"/>
  </w:num>
  <w:num w:numId="89" w16cid:durableId="54744915">
    <w:abstractNumId w:val="45"/>
  </w:num>
  <w:num w:numId="90" w16cid:durableId="2020352371">
    <w:abstractNumId w:val="72"/>
  </w:num>
  <w:num w:numId="91" w16cid:durableId="272787222">
    <w:abstractNumId w:val="92"/>
  </w:num>
  <w:num w:numId="92" w16cid:durableId="830025398">
    <w:abstractNumId w:val="58"/>
  </w:num>
  <w:num w:numId="93" w16cid:durableId="1003162141">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4"/>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53"/>
    <w:rsid w:val="000024C5"/>
    <w:rsid w:val="00015721"/>
    <w:rsid w:val="00036597"/>
    <w:rsid w:val="00057101"/>
    <w:rsid w:val="00062096"/>
    <w:rsid w:val="00096D53"/>
    <w:rsid w:val="000B5851"/>
    <w:rsid w:val="000E117C"/>
    <w:rsid w:val="000E7C12"/>
    <w:rsid w:val="001005FC"/>
    <w:rsid w:val="001209AF"/>
    <w:rsid w:val="00133BC2"/>
    <w:rsid w:val="00142F68"/>
    <w:rsid w:val="001C497A"/>
    <w:rsid w:val="001F58A7"/>
    <w:rsid w:val="00220580"/>
    <w:rsid w:val="00234763"/>
    <w:rsid w:val="002534DA"/>
    <w:rsid w:val="00267AE8"/>
    <w:rsid w:val="00281F63"/>
    <w:rsid w:val="002A0E5C"/>
    <w:rsid w:val="002B7308"/>
    <w:rsid w:val="002C02EE"/>
    <w:rsid w:val="002D4DBB"/>
    <w:rsid w:val="002F5D97"/>
    <w:rsid w:val="00301FB4"/>
    <w:rsid w:val="00336755"/>
    <w:rsid w:val="003547A0"/>
    <w:rsid w:val="00381253"/>
    <w:rsid w:val="0039542B"/>
    <w:rsid w:val="00396E50"/>
    <w:rsid w:val="003D2791"/>
    <w:rsid w:val="003D434F"/>
    <w:rsid w:val="00413E19"/>
    <w:rsid w:val="00417833"/>
    <w:rsid w:val="0043790C"/>
    <w:rsid w:val="004458CD"/>
    <w:rsid w:val="00446378"/>
    <w:rsid w:val="00476350"/>
    <w:rsid w:val="00480205"/>
    <w:rsid w:val="0048552E"/>
    <w:rsid w:val="00487BC4"/>
    <w:rsid w:val="004A4264"/>
    <w:rsid w:val="004A71A4"/>
    <w:rsid w:val="004B2F1A"/>
    <w:rsid w:val="004C55D9"/>
    <w:rsid w:val="004D2683"/>
    <w:rsid w:val="004F6B66"/>
    <w:rsid w:val="00507D01"/>
    <w:rsid w:val="00534340"/>
    <w:rsid w:val="00537A8A"/>
    <w:rsid w:val="00551B19"/>
    <w:rsid w:val="005A585C"/>
    <w:rsid w:val="005C1A5B"/>
    <w:rsid w:val="005E3656"/>
    <w:rsid w:val="005E49E5"/>
    <w:rsid w:val="005F4624"/>
    <w:rsid w:val="00604BF5"/>
    <w:rsid w:val="00624EC4"/>
    <w:rsid w:val="006730EE"/>
    <w:rsid w:val="006A39D1"/>
    <w:rsid w:val="006F2345"/>
    <w:rsid w:val="007057DF"/>
    <w:rsid w:val="007538C8"/>
    <w:rsid w:val="007771D0"/>
    <w:rsid w:val="007A6DBD"/>
    <w:rsid w:val="00804DB7"/>
    <w:rsid w:val="00821BCC"/>
    <w:rsid w:val="008270D1"/>
    <w:rsid w:val="00885304"/>
    <w:rsid w:val="008A6250"/>
    <w:rsid w:val="008B0800"/>
    <w:rsid w:val="008F4A01"/>
    <w:rsid w:val="00906A97"/>
    <w:rsid w:val="009275D3"/>
    <w:rsid w:val="00950357"/>
    <w:rsid w:val="0096479F"/>
    <w:rsid w:val="009970A8"/>
    <w:rsid w:val="009B699D"/>
    <w:rsid w:val="009E4DC3"/>
    <w:rsid w:val="00A2052E"/>
    <w:rsid w:val="00A827D0"/>
    <w:rsid w:val="00A917C6"/>
    <w:rsid w:val="00AC1DCC"/>
    <w:rsid w:val="00AC21FC"/>
    <w:rsid w:val="00AC3796"/>
    <w:rsid w:val="00AC3D67"/>
    <w:rsid w:val="00AD07D9"/>
    <w:rsid w:val="00AF3C1E"/>
    <w:rsid w:val="00AF67FB"/>
    <w:rsid w:val="00B11216"/>
    <w:rsid w:val="00B210B2"/>
    <w:rsid w:val="00B26B41"/>
    <w:rsid w:val="00B94C28"/>
    <w:rsid w:val="00BA63DD"/>
    <w:rsid w:val="00BB6B2A"/>
    <w:rsid w:val="00C2371C"/>
    <w:rsid w:val="00C24F91"/>
    <w:rsid w:val="00C4310E"/>
    <w:rsid w:val="00C53E97"/>
    <w:rsid w:val="00C80681"/>
    <w:rsid w:val="00C828E6"/>
    <w:rsid w:val="00C96D79"/>
    <w:rsid w:val="00CC7D4A"/>
    <w:rsid w:val="00CD5B4B"/>
    <w:rsid w:val="00CE1108"/>
    <w:rsid w:val="00CE273A"/>
    <w:rsid w:val="00D1433A"/>
    <w:rsid w:val="00D25588"/>
    <w:rsid w:val="00D306B5"/>
    <w:rsid w:val="00D340E8"/>
    <w:rsid w:val="00D34AF3"/>
    <w:rsid w:val="00D65EA2"/>
    <w:rsid w:val="00D877BE"/>
    <w:rsid w:val="00DC4F06"/>
    <w:rsid w:val="00DF0631"/>
    <w:rsid w:val="00DF5A3D"/>
    <w:rsid w:val="00E00707"/>
    <w:rsid w:val="00E05FE6"/>
    <w:rsid w:val="00E10161"/>
    <w:rsid w:val="00E334EC"/>
    <w:rsid w:val="00E352C9"/>
    <w:rsid w:val="00E95065"/>
    <w:rsid w:val="00EA5D94"/>
    <w:rsid w:val="00EE4C9D"/>
    <w:rsid w:val="00F310D3"/>
    <w:rsid w:val="00F5532D"/>
    <w:rsid w:val="00F67D05"/>
    <w:rsid w:val="00FD2473"/>
    <w:rsid w:val="00FD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5FE70"/>
  <w15:chartTrackingRefBased/>
  <w15:docId w15:val="{2C67C9BB-8D65-4E84-9959-9D54C81C8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205"/>
  </w:style>
  <w:style w:type="paragraph" w:styleId="Heading1">
    <w:name w:val="heading 1"/>
    <w:basedOn w:val="Normal"/>
    <w:next w:val="Normal"/>
    <w:link w:val="Heading1Char"/>
    <w:uiPriority w:val="9"/>
    <w:qFormat/>
    <w:rsid w:val="003812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2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25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25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8125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8125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8125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8125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8125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F67D05"/>
    <w:pPr>
      <w:framePr w:wrap="around" w:vAnchor="text" w:hAnchor="text" w:y="1"/>
      <w:spacing w:after="60"/>
    </w:pPr>
    <w:rPr>
      <w:rFonts w:cstheme="minorBidi"/>
    </w:rPr>
  </w:style>
  <w:style w:type="character" w:customStyle="1" w:styleId="Heading1Char">
    <w:name w:val="Heading 1 Char"/>
    <w:basedOn w:val="DefaultParagraphFont"/>
    <w:link w:val="Heading1"/>
    <w:uiPriority w:val="9"/>
    <w:rsid w:val="003812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2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25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25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8125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812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812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812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812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812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2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2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2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812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1253"/>
    <w:rPr>
      <w:i/>
      <w:iCs/>
      <w:color w:val="404040" w:themeColor="text1" w:themeTint="BF"/>
    </w:rPr>
  </w:style>
  <w:style w:type="paragraph" w:styleId="ListParagraph">
    <w:name w:val="List Paragraph"/>
    <w:basedOn w:val="Normal"/>
    <w:uiPriority w:val="34"/>
    <w:qFormat/>
    <w:rsid w:val="00381253"/>
    <w:pPr>
      <w:ind w:left="720"/>
      <w:contextualSpacing/>
    </w:pPr>
  </w:style>
  <w:style w:type="character" w:styleId="IntenseEmphasis">
    <w:name w:val="Intense Emphasis"/>
    <w:basedOn w:val="DefaultParagraphFont"/>
    <w:uiPriority w:val="21"/>
    <w:qFormat/>
    <w:rsid w:val="00381253"/>
    <w:rPr>
      <w:i/>
      <w:iCs/>
      <w:color w:val="0F4761" w:themeColor="accent1" w:themeShade="BF"/>
    </w:rPr>
  </w:style>
  <w:style w:type="paragraph" w:styleId="IntenseQuote">
    <w:name w:val="Intense Quote"/>
    <w:basedOn w:val="Normal"/>
    <w:next w:val="Normal"/>
    <w:link w:val="IntenseQuoteChar"/>
    <w:uiPriority w:val="30"/>
    <w:qFormat/>
    <w:rsid w:val="003812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253"/>
    <w:rPr>
      <w:i/>
      <w:iCs/>
      <w:color w:val="0F4761" w:themeColor="accent1" w:themeShade="BF"/>
    </w:rPr>
  </w:style>
  <w:style w:type="character" w:styleId="IntenseReference">
    <w:name w:val="Intense Reference"/>
    <w:basedOn w:val="DefaultParagraphFont"/>
    <w:uiPriority w:val="32"/>
    <w:qFormat/>
    <w:rsid w:val="00381253"/>
    <w:rPr>
      <w:b/>
      <w:bCs/>
      <w:smallCaps/>
      <w:color w:val="0F4761" w:themeColor="accent1" w:themeShade="BF"/>
      <w:spacing w:val="5"/>
    </w:rPr>
  </w:style>
  <w:style w:type="paragraph" w:styleId="Header">
    <w:name w:val="header"/>
    <w:basedOn w:val="Normal"/>
    <w:link w:val="HeaderChar"/>
    <w:uiPriority w:val="99"/>
    <w:unhideWhenUsed/>
    <w:rsid w:val="00480205"/>
    <w:pPr>
      <w:tabs>
        <w:tab w:val="center" w:pos="4680"/>
        <w:tab w:val="right" w:pos="9360"/>
      </w:tabs>
    </w:pPr>
  </w:style>
  <w:style w:type="character" w:customStyle="1" w:styleId="HeaderChar">
    <w:name w:val="Header Char"/>
    <w:basedOn w:val="DefaultParagraphFont"/>
    <w:link w:val="Header"/>
    <w:uiPriority w:val="99"/>
    <w:rsid w:val="00480205"/>
  </w:style>
  <w:style w:type="paragraph" w:styleId="Footer">
    <w:name w:val="footer"/>
    <w:basedOn w:val="Normal"/>
    <w:link w:val="FooterChar"/>
    <w:uiPriority w:val="99"/>
    <w:unhideWhenUsed/>
    <w:rsid w:val="00480205"/>
    <w:pPr>
      <w:tabs>
        <w:tab w:val="center" w:pos="4680"/>
        <w:tab w:val="right" w:pos="9360"/>
      </w:tabs>
    </w:pPr>
  </w:style>
  <w:style w:type="character" w:customStyle="1" w:styleId="FooterChar">
    <w:name w:val="Footer Char"/>
    <w:basedOn w:val="DefaultParagraphFont"/>
    <w:link w:val="Footer"/>
    <w:uiPriority w:val="99"/>
    <w:rsid w:val="00480205"/>
  </w:style>
  <w:style w:type="paragraph" w:styleId="FootnoteText">
    <w:name w:val="footnote text"/>
    <w:basedOn w:val="Normal"/>
    <w:link w:val="FootnoteTextChar"/>
    <w:uiPriority w:val="99"/>
    <w:semiHidden/>
    <w:unhideWhenUsed/>
    <w:rsid w:val="00FD2473"/>
    <w:rPr>
      <w:sz w:val="20"/>
      <w:szCs w:val="20"/>
    </w:rPr>
  </w:style>
  <w:style w:type="character" w:customStyle="1" w:styleId="FootnoteTextChar">
    <w:name w:val="Footnote Text Char"/>
    <w:basedOn w:val="DefaultParagraphFont"/>
    <w:link w:val="FootnoteText"/>
    <w:uiPriority w:val="99"/>
    <w:semiHidden/>
    <w:rsid w:val="00FD2473"/>
    <w:rPr>
      <w:sz w:val="20"/>
      <w:szCs w:val="20"/>
    </w:rPr>
  </w:style>
  <w:style w:type="character" w:styleId="FootnoteReference">
    <w:name w:val="footnote reference"/>
    <w:basedOn w:val="DefaultParagraphFont"/>
    <w:uiPriority w:val="99"/>
    <w:semiHidden/>
    <w:unhideWhenUsed/>
    <w:rsid w:val="00FD2473"/>
    <w:rPr>
      <w:vertAlign w:val="superscript"/>
    </w:rPr>
  </w:style>
  <w:style w:type="paragraph" w:styleId="NormalWeb">
    <w:name w:val="Normal (Web)"/>
    <w:basedOn w:val="Normal"/>
    <w:uiPriority w:val="99"/>
    <w:semiHidden/>
    <w:unhideWhenUsed/>
    <w:rsid w:val="00E9506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2922">
      <w:bodyDiv w:val="1"/>
      <w:marLeft w:val="0"/>
      <w:marRight w:val="0"/>
      <w:marTop w:val="0"/>
      <w:marBottom w:val="0"/>
      <w:divBdr>
        <w:top w:val="none" w:sz="0" w:space="0" w:color="auto"/>
        <w:left w:val="none" w:sz="0" w:space="0" w:color="auto"/>
        <w:bottom w:val="none" w:sz="0" w:space="0" w:color="auto"/>
        <w:right w:val="none" w:sz="0" w:space="0" w:color="auto"/>
      </w:divBdr>
      <w:divsChild>
        <w:div w:id="1678540105">
          <w:marLeft w:val="0"/>
          <w:marRight w:val="0"/>
          <w:marTop w:val="0"/>
          <w:marBottom w:val="0"/>
          <w:divBdr>
            <w:top w:val="none" w:sz="0" w:space="0" w:color="auto"/>
            <w:left w:val="none" w:sz="0" w:space="0" w:color="auto"/>
            <w:bottom w:val="none" w:sz="0" w:space="0" w:color="auto"/>
            <w:right w:val="none" w:sz="0" w:space="0" w:color="auto"/>
          </w:divBdr>
          <w:divsChild>
            <w:div w:id="14785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0597">
      <w:bodyDiv w:val="1"/>
      <w:marLeft w:val="0"/>
      <w:marRight w:val="0"/>
      <w:marTop w:val="0"/>
      <w:marBottom w:val="0"/>
      <w:divBdr>
        <w:top w:val="none" w:sz="0" w:space="0" w:color="auto"/>
        <w:left w:val="none" w:sz="0" w:space="0" w:color="auto"/>
        <w:bottom w:val="none" w:sz="0" w:space="0" w:color="auto"/>
        <w:right w:val="none" w:sz="0" w:space="0" w:color="auto"/>
      </w:divBdr>
      <w:divsChild>
        <w:div w:id="1426421348">
          <w:marLeft w:val="0"/>
          <w:marRight w:val="0"/>
          <w:marTop w:val="0"/>
          <w:marBottom w:val="0"/>
          <w:divBdr>
            <w:top w:val="none" w:sz="0" w:space="0" w:color="auto"/>
            <w:left w:val="none" w:sz="0" w:space="0" w:color="auto"/>
            <w:bottom w:val="none" w:sz="0" w:space="0" w:color="auto"/>
            <w:right w:val="none" w:sz="0" w:space="0" w:color="auto"/>
          </w:divBdr>
          <w:divsChild>
            <w:div w:id="105010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8868">
      <w:bodyDiv w:val="1"/>
      <w:marLeft w:val="0"/>
      <w:marRight w:val="0"/>
      <w:marTop w:val="0"/>
      <w:marBottom w:val="0"/>
      <w:divBdr>
        <w:top w:val="none" w:sz="0" w:space="0" w:color="auto"/>
        <w:left w:val="none" w:sz="0" w:space="0" w:color="auto"/>
        <w:bottom w:val="none" w:sz="0" w:space="0" w:color="auto"/>
        <w:right w:val="none" w:sz="0" w:space="0" w:color="auto"/>
      </w:divBdr>
      <w:divsChild>
        <w:div w:id="1096484891">
          <w:marLeft w:val="0"/>
          <w:marRight w:val="0"/>
          <w:marTop w:val="0"/>
          <w:marBottom w:val="0"/>
          <w:divBdr>
            <w:top w:val="none" w:sz="0" w:space="0" w:color="auto"/>
            <w:left w:val="none" w:sz="0" w:space="0" w:color="auto"/>
            <w:bottom w:val="none" w:sz="0" w:space="0" w:color="auto"/>
            <w:right w:val="none" w:sz="0" w:space="0" w:color="auto"/>
          </w:divBdr>
          <w:divsChild>
            <w:div w:id="56919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9935">
      <w:bodyDiv w:val="1"/>
      <w:marLeft w:val="0"/>
      <w:marRight w:val="0"/>
      <w:marTop w:val="0"/>
      <w:marBottom w:val="0"/>
      <w:divBdr>
        <w:top w:val="none" w:sz="0" w:space="0" w:color="auto"/>
        <w:left w:val="none" w:sz="0" w:space="0" w:color="auto"/>
        <w:bottom w:val="none" w:sz="0" w:space="0" w:color="auto"/>
        <w:right w:val="none" w:sz="0" w:space="0" w:color="auto"/>
      </w:divBdr>
      <w:divsChild>
        <w:div w:id="937372845">
          <w:marLeft w:val="0"/>
          <w:marRight w:val="0"/>
          <w:marTop w:val="0"/>
          <w:marBottom w:val="0"/>
          <w:divBdr>
            <w:top w:val="none" w:sz="0" w:space="0" w:color="auto"/>
            <w:left w:val="none" w:sz="0" w:space="0" w:color="auto"/>
            <w:bottom w:val="none" w:sz="0" w:space="0" w:color="auto"/>
            <w:right w:val="none" w:sz="0" w:space="0" w:color="auto"/>
          </w:divBdr>
          <w:divsChild>
            <w:div w:id="17578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7714">
      <w:bodyDiv w:val="1"/>
      <w:marLeft w:val="0"/>
      <w:marRight w:val="0"/>
      <w:marTop w:val="0"/>
      <w:marBottom w:val="0"/>
      <w:divBdr>
        <w:top w:val="none" w:sz="0" w:space="0" w:color="auto"/>
        <w:left w:val="none" w:sz="0" w:space="0" w:color="auto"/>
        <w:bottom w:val="none" w:sz="0" w:space="0" w:color="auto"/>
        <w:right w:val="none" w:sz="0" w:space="0" w:color="auto"/>
      </w:divBdr>
      <w:divsChild>
        <w:div w:id="1004745752">
          <w:marLeft w:val="0"/>
          <w:marRight w:val="0"/>
          <w:marTop w:val="0"/>
          <w:marBottom w:val="0"/>
          <w:divBdr>
            <w:top w:val="none" w:sz="0" w:space="0" w:color="auto"/>
            <w:left w:val="none" w:sz="0" w:space="0" w:color="auto"/>
            <w:bottom w:val="none" w:sz="0" w:space="0" w:color="auto"/>
            <w:right w:val="none" w:sz="0" w:space="0" w:color="auto"/>
          </w:divBdr>
          <w:divsChild>
            <w:div w:id="168493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4717">
      <w:bodyDiv w:val="1"/>
      <w:marLeft w:val="0"/>
      <w:marRight w:val="0"/>
      <w:marTop w:val="0"/>
      <w:marBottom w:val="0"/>
      <w:divBdr>
        <w:top w:val="none" w:sz="0" w:space="0" w:color="auto"/>
        <w:left w:val="none" w:sz="0" w:space="0" w:color="auto"/>
        <w:bottom w:val="none" w:sz="0" w:space="0" w:color="auto"/>
        <w:right w:val="none" w:sz="0" w:space="0" w:color="auto"/>
      </w:divBdr>
      <w:divsChild>
        <w:div w:id="205720730">
          <w:marLeft w:val="0"/>
          <w:marRight w:val="0"/>
          <w:marTop w:val="0"/>
          <w:marBottom w:val="0"/>
          <w:divBdr>
            <w:top w:val="none" w:sz="0" w:space="0" w:color="auto"/>
            <w:left w:val="none" w:sz="0" w:space="0" w:color="auto"/>
            <w:bottom w:val="none" w:sz="0" w:space="0" w:color="auto"/>
            <w:right w:val="none" w:sz="0" w:space="0" w:color="auto"/>
          </w:divBdr>
          <w:divsChild>
            <w:div w:id="141724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74472">
      <w:bodyDiv w:val="1"/>
      <w:marLeft w:val="0"/>
      <w:marRight w:val="0"/>
      <w:marTop w:val="0"/>
      <w:marBottom w:val="0"/>
      <w:divBdr>
        <w:top w:val="none" w:sz="0" w:space="0" w:color="auto"/>
        <w:left w:val="none" w:sz="0" w:space="0" w:color="auto"/>
        <w:bottom w:val="none" w:sz="0" w:space="0" w:color="auto"/>
        <w:right w:val="none" w:sz="0" w:space="0" w:color="auto"/>
      </w:divBdr>
      <w:divsChild>
        <w:div w:id="1258948889">
          <w:marLeft w:val="0"/>
          <w:marRight w:val="0"/>
          <w:marTop w:val="0"/>
          <w:marBottom w:val="0"/>
          <w:divBdr>
            <w:top w:val="none" w:sz="0" w:space="0" w:color="auto"/>
            <w:left w:val="none" w:sz="0" w:space="0" w:color="auto"/>
            <w:bottom w:val="none" w:sz="0" w:space="0" w:color="auto"/>
            <w:right w:val="none" w:sz="0" w:space="0" w:color="auto"/>
          </w:divBdr>
          <w:divsChild>
            <w:div w:id="28142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01111">
      <w:bodyDiv w:val="1"/>
      <w:marLeft w:val="0"/>
      <w:marRight w:val="0"/>
      <w:marTop w:val="0"/>
      <w:marBottom w:val="0"/>
      <w:divBdr>
        <w:top w:val="none" w:sz="0" w:space="0" w:color="auto"/>
        <w:left w:val="none" w:sz="0" w:space="0" w:color="auto"/>
        <w:bottom w:val="none" w:sz="0" w:space="0" w:color="auto"/>
        <w:right w:val="none" w:sz="0" w:space="0" w:color="auto"/>
      </w:divBdr>
      <w:divsChild>
        <w:div w:id="435826919">
          <w:marLeft w:val="0"/>
          <w:marRight w:val="0"/>
          <w:marTop w:val="0"/>
          <w:marBottom w:val="0"/>
          <w:divBdr>
            <w:top w:val="none" w:sz="0" w:space="0" w:color="auto"/>
            <w:left w:val="none" w:sz="0" w:space="0" w:color="auto"/>
            <w:bottom w:val="none" w:sz="0" w:space="0" w:color="auto"/>
            <w:right w:val="none" w:sz="0" w:space="0" w:color="auto"/>
          </w:divBdr>
          <w:divsChild>
            <w:div w:id="866868057">
              <w:marLeft w:val="0"/>
              <w:marRight w:val="0"/>
              <w:marTop w:val="0"/>
              <w:marBottom w:val="0"/>
              <w:divBdr>
                <w:top w:val="none" w:sz="0" w:space="0" w:color="auto"/>
                <w:left w:val="none" w:sz="0" w:space="0" w:color="auto"/>
                <w:bottom w:val="none" w:sz="0" w:space="0" w:color="auto"/>
                <w:right w:val="none" w:sz="0" w:space="0" w:color="auto"/>
              </w:divBdr>
              <w:divsChild>
                <w:div w:id="271254336">
                  <w:marLeft w:val="0"/>
                  <w:marRight w:val="0"/>
                  <w:marTop w:val="0"/>
                  <w:marBottom w:val="0"/>
                  <w:divBdr>
                    <w:top w:val="none" w:sz="0" w:space="0" w:color="auto"/>
                    <w:left w:val="none" w:sz="0" w:space="0" w:color="auto"/>
                    <w:bottom w:val="none" w:sz="0" w:space="0" w:color="auto"/>
                    <w:right w:val="none" w:sz="0" w:space="0" w:color="auto"/>
                  </w:divBdr>
                  <w:divsChild>
                    <w:div w:id="13932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473521">
      <w:bodyDiv w:val="1"/>
      <w:marLeft w:val="0"/>
      <w:marRight w:val="0"/>
      <w:marTop w:val="0"/>
      <w:marBottom w:val="0"/>
      <w:divBdr>
        <w:top w:val="none" w:sz="0" w:space="0" w:color="auto"/>
        <w:left w:val="none" w:sz="0" w:space="0" w:color="auto"/>
        <w:bottom w:val="none" w:sz="0" w:space="0" w:color="auto"/>
        <w:right w:val="none" w:sz="0" w:space="0" w:color="auto"/>
      </w:divBdr>
      <w:divsChild>
        <w:div w:id="679502575">
          <w:marLeft w:val="0"/>
          <w:marRight w:val="0"/>
          <w:marTop w:val="0"/>
          <w:marBottom w:val="0"/>
          <w:divBdr>
            <w:top w:val="none" w:sz="0" w:space="0" w:color="auto"/>
            <w:left w:val="none" w:sz="0" w:space="0" w:color="auto"/>
            <w:bottom w:val="none" w:sz="0" w:space="0" w:color="auto"/>
            <w:right w:val="none" w:sz="0" w:space="0" w:color="auto"/>
          </w:divBdr>
          <w:divsChild>
            <w:div w:id="16030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91513">
      <w:bodyDiv w:val="1"/>
      <w:marLeft w:val="0"/>
      <w:marRight w:val="0"/>
      <w:marTop w:val="0"/>
      <w:marBottom w:val="0"/>
      <w:divBdr>
        <w:top w:val="none" w:sz="0" w:space="0" w:color="auto"/>
        <w:left w:val="none" w:sz="0" w:space="0" w:color="auto"/>
        <w:bottom w:val="none" w:sz="0" w:space="0" w:color="auto"/>
        <w:right w:val="none" w:sz="0" w:space="0" w:color="auto"/>
      </w:divBdr>
      <w:divsChild>
        <w:div w:id="262495810">
          <w:marLeft w:val="0"/>
          <w:marRight w:val="0"/>
          <w:marTop w:val="0"/>
          <w:marBottom w:val="0"/>
          <w:divBdr>
            <w:top w:val="none" w:sz="0" w:space="0" w:color="auto"/>
            <w:left w:val="none" w:sz="0" w:space="0" w:color="auto"/>
            <w:bottom w:val="none" w:sz="0" w:space="0" w:color="auto"/>
            <w:right w:val="none" w:sz="0" w:space="0" w:color="auto"/>
          </w:divBdr>
          <w:divsChild>
            <w:div w:id="4960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32139">
      <w:bodyDiv w:val="1"/>
      <w:marLeft w:val="0"/>
      <w:marRight w:val="0"/>
      <w:marTop w:val="0"/>
      <w:marBottom w:val="0"/>
      <w:divBdr>
        <w:top w:val="none" w:sz="0" w:space="0" w:color="auto"/>
        <w:left w:val="none" w:sz="0" w:space="0" w:color="auto"/>
        <w:bottom w:val="none" w:sz="0" w:space="0" w:color="auto"/>
        <w:right w:val="none" w:sz="0" w:space="0" w:color="auto"/>
      </w:divBdr>
      <w:divsChild>
        <w:div w:id="125975260">
          <w:marLeft w:val="0"/>
          <w:marRight w:val="0"/>
          <w:marTop w:val="0"/>
          <w:marBottom w:val="0"/>
          <w:divBdr>
            <w:top w:val="none" w:sz="0" w:space="0" w:color="auto"/>
            <w:left w:val="none" w:sz="0" w:space="0" w:color="auto"/>
            <w:bottom w:val="none" w:sz="0" w:space="0" w:color="auto"/>
            <w:right w:val="none" w:sz="0" w:space="0" w:color="auto"/>
          </w:divBdr>
          <w:divsChild>
            <w:div w:id="10948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82707">
      <w:bodyDiv w:val="1"/>
      <w:marLeft w:val="0"/>
      <w:marRight w:val="0"/>
      <w:marTop w:val="0"/>
      <w:marBottom w:val="0"/>
      <w:divBdr>
        <w:top w:val="none" w:sz="0" w:space="0" w:color="auto"/>
        <w:left w:val="none" w:sz="0" w:space="0" w:color="auto"/>
        <w:bottom w:val="none" w:sz="0" w:space="0" w:color="auto"/>
        <w:right w:val="none" w:sz="0" w:space="0" w:color="auto"/>
      </w:divBdr>
      <w:divsChild>
        <w:div w:id="887961034">
          <w:marLeft w:val="0"/>
          <w:marRight w:val="0"/>
          <w:marTop w:val="0"/>
          <w:marBottom w:val="0"/>
          <w:divBdr>
            <w:top w:val="none" w:sz="0" w:space="0" w:color="auto"/>
            <w:left w:val="none" w:sz="0" w:space="0" w:color="auto"/>
            <w:bottom w:val="none" w:sz="0" w:space="0" w:color="auto"/>
            <w:right w:val="none" w:sz="0" w:space="0" w:color="auto"/>
          </w:divBdr>
          <w:divsChild>
            <w:div w:id="18740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6662">
      <w:bodyDiv w:val="1"/>
      <w:marLeft w:val="0"/>
      <w:marRight w:val="0"/>
      <w:marTop w:val="0"/>
      <w:marBottom w:val="0"/>
      <w:divBdr>
        <w:top w:val="none" w:sz="0" w:space="0" w:color="auto"/>
        <w:left w:val="none" w:sz="0" w:space="0" w:color="auto"/>
        <w:bottom w:val="none" w:sz="0" w:space="0" w:color="auto"/>
        <w:right w:val="none" w:sz="0" w:space="0" w:color="auto"/>
      </w:divBdr>
      <w:divsChild>
        <w:div w:id="1818954467">
          <w:marLeft w:val="0"/>
          <w:marRight w:val="0"/>
          <w:marTop w:val="0"/>
          <w:marBottom w:val="0"/>
          <w:divBdr>
            <w:top w:val="none" w:sz="0" w:space="0" w:color="auto"/>
            <w:left w:val="none" w:sz="0" w:space="0" w:color="auto"/>
            <w:bottom w:val="none" w:sz="0" w:space="0" w:color="auto"/>
            <w:right w:val="none" w:sz="0" w:space="0" w:color="auto"/>
          </w:divBdr>
          <w:divsChild>
            <w:div w:id="106183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270280">
      <w:bodyDiv w:val="1"/>
      <w:marLeft w:val="0"/>
      <w:marRight w:val="0"/>
      <w:marTop w:val="0"/>
      <w:marBottom w:val="0"/>
      <w:divBdr>
        <w:top w:val="none" w:sz="0" w:space="0" w:color="auto"/>
        <w:left w:val="none" w:sz="0" w:space="0" w:color="auto"/>
        <w:bottom w:val="none" w:sz="0" w:space="0" w:color="auto"/>
        <w:right w:val="none" w:sz="0" w:space="0" w:color="auto"/>
      </w:divBdr>
      <w:divsChild>
        <w:div w:id="1222789700">
          <w:marLeft w:val="0"/>
          <w:marRight w:val="0"/>
          <w:marTop w:val="0"/>
          <w:marBottom w:val="0"/>
          <w:divBdr>
            <w:top w:val="none" w:sz="0" w:space="0" w:color="auto"/>
            <w:left w:val="none" w:sz="0" w:space="0" w:color="auto"/>
            <w:bottom w:val="none" w:sz="0" w:space="0" w:color="auto"/>
            <w:right w:val="none" w:sz="0" w:space="0" w:color="auto"/>
          </w:divBdr>
          <w:divsChild>
            <w:div w:id="105180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97227">
      <w:bodyDiv w:val="1"/>
      <w:marLeft w:val="0"/>
      <w:marRight w:val="0"/>
      <w:marTop w:val="0"/>
      <w:marBottom w:val="0"/>
      <w:divBdr>
        <w:top w:val="none" w:sz="0" w:space="0" w:color="auto"/>
        <w:left w:val="none" w:sz="0" w:space="0" w:color="auto"/>
        <w:bottom w:val="none" w:sz="0" w:space="0" w:color="auto"/>
        <w:right w:val="none" w:sz="0" w:space="0" w:color="auto"/>
      </w:divBdr>
      <w:divsChild>
        <w:div w:id="421948718">
          <w:marLeft w:val="0"/>
          <w:marRight w:val="0"/>
          <w:marTop w:val="0"/>
          <w:marBottom w:val="0"/>
          <w:divBdr>
            <w:top w:val="none" w:sz="0" w:space="0" w:color="auto"/>
            <w:left w:val="none" w:sz="0" w:space="0" w:color="auto"/>
            <w:bottom w:val="none" w:sz="0" w:space="0" w:color="auto"/>
            <w:right w:val="none" w:sz="0" w:space="0" w:color="auto"/>
          </w:divBdr>
          <w:divsChild>
            <w:div w:id="133649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81283">
      <w:bodyDiv w:val="1"/>
      <w:marLeft w:val="0"/>
      <w:marRight w:val="0"/>
      <w:marTop w:val="0"/>
      <w:marBottom w:val="0"/>
      <w:divBdr>
        <w:top w:val="none" w:sz="0" w:space="0" w:color="auto"/>
        <w:left w:val="none" w:sz="0" w:space="0" w:color="auto"/>
        <w:bottom w:val="none" w:sz="0" w:space="0" w:color="auto"/>
        <w:right w:val="none" w:sz="0" w:space="0" w:color="auto"/>
      </w:divBdr>
      <w:divsChild>
        <w:div w:id="2109883244">
          <w:marLeft w:val="0"/>
          <w:marRight w:val="0"/>
          <w:marTop w:val="0"/>
          <w:marBottom w:val="0"/>
          <w:divBdr>
            <w:top w:val="none" w:sz="0" w:space="0" w:color="auto"/>
            <w:left w:val="none" w:sz="0" w:space="0" w:color="auto"/>
            <w:bottom w:val="none" w:sz="0" w:space="0" w:color="auto"/>
            <w:right w:val="none" w:sz="0" w:space="0" w:color="auto"/>
          </w:divBdr>
          <w:divsChild>
            <w:div w:id="1111243279">
              <w:marLeft w:val="0"/>
              <w:marRight w:val="0"/>
              <w:marTop w:val="0"/>
              <w:marBottom w:val="0"/>
              <w:divBdr>
                <w:top w:val="none" w:sz="0" w:space="0" w:color="auto"/>
                <w:left w:val="none" w:sz="0" w:space="0" w:color="auto"/>
                <w:bottom w:val="none" w:sz="0" w:space="0" w:color="auto"/>
                <w:right w:val="none" w:sz="0" w:space="0" w:color="auto"/>
              </w:divBdr>
              <w:divsChild>
                <w:div w:id="192156698">
                  <w:marLeft w:val="0"/>
                  <w:marRight w:val="0"/>
                  <w:marTop w:val="0"/>
                  <w:marBottom w:val="0"/>
                  <w:divBdr>
                    <w:top w:val="none" w:sz="0" w:space="0" w:color="auto"/>
                    <w:left w:val="none" w:sz="0" w:space="0" w:color="auto"/>
                    <w:bottom w:val="none" w:sz="0" w:space="0" w:color="auto"/>
                    <w:right w:val="none" w:sz="0" w:space="0" w:color="auto"/>
                  </w:divBdr>
                  <w:divsChild>
                    <w:div w:id="202061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622917">
      <w:bodyDiv w:val="1"/>
      <w:marLeft w:val="0"/>
      <w:marRight w:val="0"/>
      <w:marTop w:val="0"/>
      <w:marBottom w:val="0"/>
      <w:divBdr>
        <w:top w:val="none" w:sz="0" w:space="0" w:color="auto"/>
        <w:left w:val="none" w:sz="0" w:space="0" w:color="auto"/>
        <w:bottom w:val="none" w:sz="0" w:space="0" w:color="auto"/>
        <w:right w:val="none" w:sz="0" w:space="0" w:color="auto"/>
      </w:divBdr>
      <w:divsChild>
        <w:div w:id="1267423172">
          <w:marLeft w:val="0"/>
          <w:marRight w:val="0"/>
          <w:marTop w:val="0"/>
          <w:marBottom w:val="0"/>
          <w:divBdr>
            <w:top w:val="none" w:sz="0" w:space="0" w:color="auto"/>
            <w:left w:val="none" w:sz="0" w:space="0" w:color="auto"/>
            <w:bottom w:val="none" w:sz="0" w:space="0" w:color="auto"/>
            <w:right w:val="none" w:sz="0" w:space="0" w:color="auto"/>
          </w:divBdr>
          <w:divsChild>
            <w:div w:id="164365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65790">
      <w:bodyDiv w:val="1"/>
      <w:marLeft w:val="0"/>
      <w:marRight w:val="0"/>
      <w:marTop w:val="0"/>
      <w:marBottom w:val="0"/>
      <w:divBdr>
        <w:top w:val="none" w:sz="0" w:space="0" w:color="auto"/>
        <w:left w:val="none" w:sz="0" w:space="0" w:color="auto"/>
        <w:bottom w:val="none" w:sz="0" w:space="0" w:color="auto"/>
        <w:right w:val="none" w:sz="0" w:space="0" w:color="auto"/>
      </w:divBdr>
      <w:divsChild>
        <w:div w:id="3478387">
          <w:marLeft w:val="0"/>
          <w:marRight w:val="0"/>
          <w:marTop w:val="0"/>
          <w:marBottom w:val="0"/>
          <w:divBdr>
            <w:top w:val="none" w:sz="0" w:space="0" w:color="auto"/>
            <w:left w:val="none" w:sz="0" w:space="0" w:color="auto"/>
            <w:bottom w:val="none" w:sz="0" w:space="0" w:color="auto"/>
            <w:right w:val="none" w:sz="0" w:space="0" w:color="auto"/>
          </w:divBdr>
          <w:divsChild>
            <w:div w:id="101272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19338">
      <w:bodyDiv w:val="1"/>
      <w:marLeft w:val="0"/>
      <w:marRight w:val="0"/>
      <w:marTop w:val="0"/>
      <w:marBottom w:val="0"/>
      <w:divBdr>
        <w:top w:val="none" w:sz="0" w:space="0" w:color="auto"/>
        <w:left w:val="none" w:sz="0" w:space="0" w:color="auto"/>
        <w:bottom w:val="none" w:sz="0" w:space="0" w:color="auto"/>
        <w:right w:val="none" w:sz="0" w:space="0" w:color="auto"/>
      </w:divBdr>
      <w:divsChild>
        <w:div w:id="1038429312">
          <w:marLeft w:val="0"/>
          <w:marRight w:val="0"/>
          <w:marTop w:val="0"/>
          <w:marBottom w:val="0"/>
          <w:divBdr>
            <w:top w:val="none" w:sz="0" w:space="0" w:color="auto"/>
            <w:left w:val="none" w:sz="0" w:space="0" w:color="auto"/>
            <w:bottom w:val="none" w:sz="0" w:space="0" w:color="auto"/>
            <w:right w:val="none" w:sz="0" w:space="0" w:color="auto"/>
          </w:divBdr>
          <w:divsChild>
            <w:div w:id="19477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07043">
      <w:bodyDiv w:val="1"/>
      <w:marLeft w:val="0"/>
      <w:marRight w:val="0"/>
      <w:marTop w:val="0"/>
      <w:marBottom w:val="0"/>
      <w:divBdr>
        <w:top w:val="none" w:sz="0" w:space="0" w:color="auto"/>
        <w:left w:val="none" w:sz="0" w:space="0" w:color="auto"/>
        <w:bottom w:val="none" w:sz="0" w:space="0" w:color="auto"/>
        <w:right w:val="none" w:sz="0" w:space="0" w:color="auto"/>
      </w:divBdr>
      <w:divsChild>
        <w:div w:id="99961629">
          <w:marLeft w:val="0"/>
          <w:marRight w:val="0"/>
          <w:marTop w:val="0"/>
          <w:marBottom w:val="0"/>
          <w:divBdr>
            <w:top w:val="none" w:sz="0" w:space="0" w:color="auto"/>
            <w:left w:val="none" w:sz="0" w:space="0" w:color="auto"/>
            <w:bottom w:val="none" w:sz="0" w:space="0" w:color="auto"/>
            <w:right w:val="none" w:sz="0" w:space="0" w:color="auto"/>
          </w:divBdr>
          <w:divsChild>
            <w:div w:id="112561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3259">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123536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2960">
      <w:bodyDiv w:val="1"/>
      <w:marLeft w:val="0"/>
      <w:marRight w:val="0"/>
      <w:marTop w:val="0"/>
      <w:marBottom w:val="0"/>
      <w:divBdr>
        <w:top w:val="none" w:sz="0" w:space="0" w:color="auto"/>
        <w:left w:val="none" w:sz="0" w:space="0" w:color="auto"/>
        <w:bottom w:val="none" w:sz="0" w:space="0" w:color="auto"/>
        <w:right w:val="none" w:sz="0" w:space="0" w:color="auto"/>
      </w:divBdr>
      <w:divsChild>
        <w:div w:id="1367022815">
          <w:marLeft w:val="0"/>
          <w:marRight w:val="0"/>
          <w:marTop w:val="0"/>
          <w:marBottom w:val="0"/>
          <w:divBdr>
            <w:top w:val="none" w:sz="0" w:space="0" w:color="auto"/>
            <w:left w:val="none" w:sz="0" w:space="0" w:color="auto"/>
            <w:bottom w:val="none" w:sz="0" w:space="0" w:color="auto"/>
            <w:right w:val="none" w:sz="0" w:space="0" w:color="auto"/>
          </w:divBdr>
          <w:divsChild>
            <w:div w:id="117410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0058">
      <w:bodyDiv w:val="1"/>
      <w:marLeft w:val="0"/>
      <w:marRight w:val="0"/>
      <w:marTop w:val="0"/>
      <w:marBottom w:val="0"/>
      <w:divBdr>
        <w:top w:val="none" w:sz="0" w:space="0" w:color="auto"/>
        <w:left w:val="none" w:sz="0" w:space="0" w:color="auto"/>
        <w:bottom w:val="none" w:sz="0" w:space="0" w:color="auto"/>
        <w:right w:val="none" w:sz="0" w:space="0" w:color="auto"/>
      </w:divBdr>
      <w:divsChild>
        <w:div w:id="1269195054">
          <w:marLeft w:val="0"/>
          <w:marRight w:val="0"/>
          <w:marTop w:val="0"/>
          <w:marBottom w:val="0"/>
          <w:divBdr>
            <w:top w:val="none" w:sz="0" w:space="0" w:color="auto"/>
            <w:left w:val="none" w:sz="0" w:space="0" w:color="auto"/>
            <w:bottom w:val="none" w:sz="0" w:space="0" w:color="auto"/>
            <w:right w:val="none" w:sz="0" w:space="0" w:color="auto"/>
          </w:divBdr>
          <w:divsChild>
            <w:div w:id="18742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05597">
      <w:bodyDiv w:val="1"/>
      <w:marLeft w:val="0"/>
      <w:marRight w:val="0"/>
      <w:marTop w:val="0"/>
      <w:marBottom w:val="0"/>
      <w:divBdr>
        <w:top w:val="none" w:sz="0" w:space="0" w:color="auto"/>
        <w:left w:val="none" w:sz="0" w:space="0" w:color="auto"/>
        <w:bottom w:val="none" w:sz="0" w:space="0" w:color="auto"/>
        <w:right w:val="none" w:sz="0" w:space="0" w:color="auto"/>
      </w:divBdr>
      <w:divsChild>
        <w:div w:id="1262497296">
          <w:marLeft w:val="0"/>
          <w:marRight w:val="0"/>
          <w:marTop w:val="0"/>
          <w:marBottom w:val="0"/>
          <w:divBdr>
            <w:top w:val="none" w:sz="0" w:space="0" w:color="auto"/>
            <w:left w:val="none" w:sz="0" w:space="0" w:color="auto"/>
            <w:bottom w:val="none" w:sz="0" w:space="0" w:color="auto"/>
            <w:right w:val="none" w:sz="0" w:space="0" w:color="auto"/>
          </w:divBdr>
          <w:divsChild>
            <w:div w:id="95148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31374">
      <w:bodyDiv w:val="1"/>
      <w:marLeft w:val="0"/>
      <w:marRight w:val="0"/>
      <w:marTop w:val="0"/>
      <w:marBottom w:val="0"/>
      <w:divBdr>
        <w:top w:val="none" w:sz="0" w:space="0" w:color="auto"/>
        <w:left w:val="none" w:sz="0" w:space="0" w:color="auto"/>
        <w:bottom w:val="none" w:sz="0" w:space="0" w:color="auto"/>
        <w:right w:val="none" w:sz="0" w:space="0" w:color="auto"/>
      </w:divBdr>
      <w:divsChild>
        <w:div w:id="1469008242">
          <w:marLeft w:val="0"/>
          <w:marRight w:val="0"/>
          <w:marTop w:val="0"/>
          <w:marBottom w:val="0"/>
          <w:divBdr>
            <w:top w:val="none" w:sz="0" w:space="0" w:color="auto"/>
            <w:left w:val="none" w:sz="0" w:space="0" w:color="auto"/>
            <w:bottom w:val="none" w:sz="0" w:space="0" w:color="auto"/>
            <w:right w:val="none" w:sz="0" w:space="0" w:color="auto"/>
          </w:divBdr>
          <w:divsChild>
            <w:div w:id="1041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55219">
      <w:bodyDiv w:val="1"/>
      <w:marLeft w:val="0"/>
      <w:marRight w:val="0"/>
      <w:marTop w:val="0"/>
      <w:marBottom w:val="0"/>
      <w:divBdr>
        <w:top w:val="none" w:sz="0" w:space="0" w:color="auto"/>
        <w:left w:val="none" w:sz="0" w:space="0" w:color="auto"/>
        <w:bottom w:val="none" w:sz="0" w:space="0" w:color="auto"/>
        <w:right w:val="none" w:sz="0" w:space="0" w:color="auto"/>
      </w:divBdr>
      <w:divsChild>
        <w:div w:id="301809433">
          <w:marLeft w:val="0"/>
          <w:marRight w:val="0"/>
          <w:marTop w:val="0"/>
          <w:marBottom w:val="0"/>
          <w:divBdr>
            <w:top w:val="none" w:sz="0" w:space="0" w:color="auto"/>
            <w:left w:val="none" w:sz="0" w:space="0" w:color="auto"/>
            <w:bottom w:val="none" w:sz="0" w:space="0" w:color="auto"/>
            <w:right w:val="none" w:sz="0" w:space="0" w:color="auto"/>
          </w:divBdr>
          <w:divsChild>
            <w:div w:id="12769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30686">
      <w:bodyDiv w:val="1"/>
      <w:marLeft w:val="0"/>
      <w:marRight w:val="0"/>
      <w:marTop w:val="0"/>
      <w:marBottom w:val="0"/>
      <w:divBdr>
        <w:top w:val="none" w:sz="0" w:space="0" w:color="auto"/>
        <w:left w:val="none" w:sz="0" w:space="0" w:color="auto"/>
        <w:bottom w:val="none" w:sz="0" w:space="0" w:color="auto"/>
        <w:right w:val="none" w:sz="0" w:space="0" w:color="auto"/>
      </w:divBdr>
      <w:divsChild>
        <w:div w:id="259265806">
          <w:marLeft w:val="0"/>
          <w:marRight w:val="0"/>
          <w:marTop w:val="0"/>
          <w:marBottom w:val="0"/>
          <w:divBdr>
            <w:top w:val="none" w:sz="0" w:space="0" w:color="auto"/>
            <w:left w:val="none" w:sz="0" w:space="0" w:color="auto"/>
            <w:bottom w:val="none" w:sz="0" w:space="0" w:color="auto"/>
            <w:right w:val="none" w:sz="0" w:space="0" w:color="auto"/>
          </w:divBdr>
          <w:divsChild>
            <w:div w:id="5200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70459">
      <w:bodyDiv w:val="1"/>
      <w:marLeft w:val="0"/>
      <w:marRight w:val="0"/>
      <w:marTop w:val="0"/>
      <w:marBottom w:val="0"/>
      <w:divBdr>
        <w:top w:val="none" w:sz="0" w:space="0" w:color="auto"/>
        <w:left w:val="none" w:sz="0" w:space="0" w:color="auto"/>
        <w:bottom w:val="none" w:sz="0" w:space="0" w:color="auto"/>
        <w:right w:val="none" w:sz="0" w:space="0" w:color="auto"/>
      </w:divBdr>
      <w:divsChild>
        <w:div w:id="1310481893">
          <w:marLeft w:val="0"/>
          <w:marRight w:val="0"/>
          <w:marTop w:val="0"/>
          <w:marBottom w:val="0"/>
          <w:divBdr>
            <w:top w:val="none" w:sz="0" w:space="0" w:color="auto"/>
            <w:left w:val="none" w:sz="0" w:space="0" w:color="auto"/>
            <w:bottom w:val="none" w:sz="0" w:space="0" w:color="auto"/>
            <w:right w:val="none" w:sz="0" w:space="0" w:color="auto"/>
          </w:divBdr>
          <w:divsChild>
            <w:div w:id="21232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1093">
      <w:bodyDiv w:val="1"/>
      <w:marLeft w:val="0"/>
      <w:marRight w:val="0"/>
      <w:marTop w:val="0"/>
      <w:marBottom w:val="0"/>
      <w:divBdr>
        <w:top w:val="none" w:sz="0" w:space="0" w:color="auto"/>
        <w:left w:val="none" w:sz="0" w:space="0" w:color="auto"/>
        <w:bottom w:val="none" w:sz="0" w:space="0" w:color="auto"/>
        <w:right w:val="none" w:sz="0" w:space="0" w:color="auto"/>
      </w:divBdr>
      <w:divsChild>
        <w:div w:id="1241982737">
          <w:marLeft w:val="0"/>
          <w:marRight w:val="0"/>
          <w:marTop w:val="0"/>
          <w:marBottom w:val="0"/>
          <w:divBdr>
            <w:top w:val="none" w:sz="0" w:space="0" w:color="auto"/>
            <w:left w:val="none" w:sz="0" w:space="0" w:color="auto"/>
            <w:bottom w:val="none" w:sz="0" w:space="0" w:color="auto"/>
            <w:right w:val="none" w:sz="0" w:space="0" w:color="auto"/>
          </w:divBdr>
          <w:divsChild>
            <w:div w:id="83379684">
              <w:marLeft w:val="0"/>
              <w:marRight w:val="0"/>
              <w:marTop w:val="0"/>
              <w:marBottom w:val="0"/>
              <w:divBdr>
                <w:top w:val="none" w:sz="0" w:space="0" w:color="auto"/>
                <w:left w:val="none" w:sz="0" w:space="0" w:color="auto"/>
                <w:bottom w:val="none" w:sz="0" w:space="0" w:color="auto"/>
                <w:right w:val="none" w:sz="0" w:space="0" w:color="auto"/>
              </w:divBdr>
              <w:divsChild>
                <w:div w:id="657416662">
                  <w:marLeft w:val="0"/>
                  <w:marRight w:val="0"/>
                  <w:marTop w:val="0"/>
                  <w:marBottom w:val="0"/>
                  <w:divBdr>
                    <w:top w:val="none" w:sz="0" w:space="0" w:color="auto"/>
                    <w:left w:val="none" w:sz="0" w:space="0" w:color="auto"/>
                    <w:bottom w:val="none" w:sz="0" w:space="0" w:color="auto"/>
                    <w:right w:val="none" w:sz="0" w:space="0" w:color="auto"/>
                  </w:divBdr>
                  <w:divsChild>
                    <w:div w:id="149711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158874">
      <w:bodyDiv w:val="1"/>
      <w:marLeft w:val="0"/>
      <w:marRight w:val="0"/>
      <w:marTop w:val="0"/>
      <w:marBottom w:val="0"/>
      <w:divBdr>
        <w:top w:val="none" w:sz="0" w:space="0" w:color="auto"/>
        <w:left w:val="none" w:sz="0" w:space="0" w:color="auto"/>
        <w:bottom w:val="none" w:sz="0" w:space="0" w:color="auto"/>
        <w:right w:val="none" w:sz="0" w:space="0" w:color="auto"/>
      </w:divBdr>
      <w:divsChild>
        <w:div w:id="1342657314">
          <w:marLeft w:val="0"/>
          <w:marRight w:val="0"/>
          <w:marTop w:val="0"/>
          <w:marBottom w:val="0"/>
          <w:divBdr>
            <w:top w:val="none" w:sz="0" w:space="0" w:color="auto"/>
            <w:left w:val="none" w:sz="0" w:space="0" w:color="auto"/>
            <w:bottom w:val="none" w:sz="0" w:space="0" w:color="auto"/>
            <w:right w:val="none" w:sz="0" w:space="0" w:color="auto"/>
          </w:divBdr>
          <w:divsChild>
            <w:div w:id="52174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14032">
      <w:bodyDiv w:val="1"/>
      <w:marLeft w:val="0"/>
      <w:marRight w:val="0"/>
      <w:marTop w:val="0"/>
      <w:marBottom w:val="0"/>
      <w:divBdr>
        <w:top w:val="none" w:sz="0" w:space="0" w:color="auto"/>
        <w:left w:val="none" w:sz="0" w:space="0" w:color="auto"/>
        <w:bottom w:val="none" w:sz="0" w:space="0" w:color="auto"/>
        <w:right w:val="none" w:sz="0" w:space="0" w:color="auto"/>
      </w:divBdr>
      <w:divsChild>
        <w:div w:id="1412121270">
          <w:marLeft w:val="0"/>
          <w:marRight w:val="0"/>
          <w:marTop w:val="0"/>
          <w:marBottom w:val="0"/>
          <w:divBdr>
            <w:top w:val="none" w:sz="0" w:space="0" w:color="auto"/>
            <w:left w:val="none" w:sz="0" w:space="0" w:color="auto"/>
            <w:bottom w:val="none" w:sz="0" w:space="0" w:color="auto"/>
            <w:right w:val="none" w:sz="0" w:space="0" w:color="auto"/>
          </w:divBdr>
          <w:divsChild>
            <w:div w:id="4484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241760">
      <w:bodyDiv w:val="1"/>
      <w:marLeft w:val="0"/>
      <w:marRight w:val="0"/>
      <w:marTop w:val="0"/>
      <w:marBottom w:val="0"/>
      <w:divBdr>
        <w:top w:val="none" w:sz="0" w:space="0" w:color="auto"/>
        <w:left w:val="none" w:sz="0" w:space="0" w:color="auto"/>
        <w:bottom w:val="none" w:sz="0" w:space="0" w:color="auto"/>
        <w:right w:val="none" w:sz="0" w:space="0" w:color="auto"/>
      </w:divBdr>
      <w:divsChild>
        <w:div w:id="546375896">
          <w:marLeft w:val="0"/>
          <w:marRight w:val="0"/>
          <w:marTop w:val="0"/>
          <w:marBottom w:val="0"/>
          <w:divBdr>
            <w:top w:val="none" w:sz="0" w:space="0" w:color="auto"/>
            <w:left w:val="none" w:sz="0" w:space="0" w:color="auto"/>
            <w:bottom w:val="none" w:sz="0" w:space="0" w:color="auto"/>
            <w:right w:val="none" w:sz="0" w:space="0" w:color="auto"/>
          </w:divBdr>
          <w:divsChild>
            <w:div w:id="1279796648">
              <w:marLeft w:val="0"/>
              <w:marRight w:val="0"/>
              <w:marTop w:val="0"/>
              <w:marBottom w:val="0"/>
              <w:divBdr>
                <w:top w:val="none" w:sz="0" w:space="0" w:color="auto"/>
                <w:left w:val="none" w:sz="0" w:space="0" w:color="auto"/>
                <w:bottom w:val="none" w:sz="0" w:space="0" w:color="auto"/>
                <w:right w:val="none" w:sz="0" w:space="0" w:color="auto"/>
              </w:divBdr>
              <w:divsChild>
                <w:div w:id="151454058">
                  <w:marLeft w:val="0"/>
                  <w:marRight w:val="0"/>
                  <w:marTop w:val="0"/>
                  <w:marBottom w:val="0"/>
                  <w:divBdr>
                    <w:top w:val="none" w:sz="0" w:space="0" w:color="auto"/>
                    <w:left w:val="none" w:sz="0" w:space="0" w:color="auto"/>
                    <w:bottom w:val="none" w:sz="0" w:space="0" w:color="auto"/>
                    <w:right w:val="none" w:sz="0" w:space="0" w:color="auto"/>
                  </w:divBdr>
                  <w:divsChild>
                    <w:div w:id="47356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979902">
      <w:bodyDiv w:val="1"/>
      <w:marLeft w:val="0"/>
      <w:marRight w:val="0"/>
      <w:marTop w:val="0"/>
      <w:marBottom w:val="0"/>
      <w:divBdr>
        <w:top w:val="none" w:sz="0" w:space="0" w:color="auto"/>
        <w:left w:val="none" w:sz="0" w:space="0" w:color="auto"/>
        <w:bottom w:val="none" w:sz="0" w:space="0" w:color="auto"/>
        <w:right w:val="none" w:sz="0" w:space="0" w:color="auto"/>
      </w:divBdr>
      <w:divsChild>
        <w:div w:id="225184824">
          <w:marLeft w:val="0"/>
          <w:marRight w:val="0"/>
          <w:marTop w:val="0"/>
          <w:marBottom w:val="0"/>
          <w:divBdr>
            <w:top w:val="none" w:sz="0" w:space="0" w:color="auto"/>
            <w:left w:val="none" w:sz="0" w:space="0" w:color="auto"/>
            <w:bottom w:val="none" w:sz="0" w:space="0" w:color="auto"/>
            <w:right w:val="none" w:sz="0" w:space="0" w:color="auto"/>
          </w:divBdr>
          <w:divsChild>
            <w:div w:id="13910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03946">
      <w:bodyDiv w:val="1"/>
      <w:marLeft w:val="0"/>
      <w:marRight w:val="0"/>
      <w:marTop w:val="0"/>
      <w:marBottom w:val="0"/>
      <w:divBdr>
        <w:top w:val="none" w:sz="0" w:space="0" w:color="auto"/>
        <w:left w:val="none" w:sz="0" w:space="0" w:color="auto"/>
        <w:bottom w:val="none" w:sz="0" w:space="0" w:color="auto"/>
        <w:right w:val="none" w:sz="0" w:space="0" w:color="auto"/>
      </w:divBdr>
      <w:divsChild>
        <w:div w:id="1636645751">
          <w:marLeft w:val="0"/>
          <w:marRight w:val="0"/>
          <w:marTop w:val="0"/>
          <w:marBottom w:val="0"/>
          <w:divBdr>
            <w:top w:val="none" w:sz="0" w:space="0" w:color="auto"/>
            <w:left w:val="none" w:sz="0" w:space="0" w:color="auto"/>
            <w:bottom w:val="none" w:sz="0" w:space="0" w:color="auto"/>
            <w:right w:val="none" w:sz="0" w:space="0" w:color="auto"/>
          </w:divBdr>
          <w:divsChild>
            <w:div w:id="923153097">
              <w:marLeft w:val="0"/>
              <w:marRight w:val="0"/>
              <w:marTop w:val="0"/>
              <w:marBottom w:val="0"/>
              <w:divBdr>
                <w:top w:val="none" w:sz="0" w:space="0" w:color="auto"/>
                <w:left w:val="none" w:sz="0" w:space="0" w:color="auto"/>
                <w:bottom w:val="none" w:sz="0" w:space="0" w:color="auto"/>
                <w:right w:val="none" w:sz="0" w:space="0" w:color="auto"/>
              </w:divBdr>
              <w:divsChild>
                <w:div w:id="221259256">
                  <w:marLeft w:val="0"/>
                  <w:marRight w:val="0"/>
                  <w:marTop w:val="0"/>
                  <w:marBottom w:val="0"/>
                  <w:divBdr>
                    <w:top w:val="none" w:sz="0" w:space="0" w:color="auto"/>
                    <w:left w:val="none" w:sz="0" w:space="0" w:color="auto"/>
                    <w:bottom w:val="none" w:sz="0" w:space="0" w:color="auto"/>
                    <w:right w:val="none" w:sz="0" w:space="0" w:color="auto"/>
                  </w:divBdr>
                  <w:divsChild>
                    <w:div w:id="157400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946982">
      <w:bodyDiv w:val="1"/>
      <w:marLeft w:val="0"/>
      <w:marRight w:val="0"/>
      <w:marTop w:val="0"/>
      <w:marBottom w:val="0"/>
      <w:divBdr>
        <w:top w:val="none" w:sz="0" w:space="0" w:color="auto"/>
        <w:left w:val="none" w:sz="0" w:space="0" w:color="auto"/>
        <w:bottom w:val="none" w:sz="0" w:space="0" w:color="auto"/>
        <w:right w:val="none" w:sz="0" w:space="0" w:color="auto"/>
      </w:divBdr>
      <w:divsChild>
        <w:div w:id="227226483">
          <w:marLeft w:val="0"/>
          <w:marRight w:val="0"/>
          <w:marTop w:val="0"/>
          <w:marBottom w:val="0"/>
          <w:divBdr>
            <w:top w:val="none" w:sz="0" w:space="0" w:color="auto"/>
            <w:left w:val="none" w:sz="0" w:space="0" w:color="auto"/>
            <w:bottom w:val="none" w:sz="0" w:space="0" w:color="auto"/>
            <w:right w:val="none" w:sz="0" w:space="0" w:color="auto"/>
          </w:divBdr>
          <w:divsChild>
            <w:div w:id="1472283960">
              <w:marLeft w:val="0"/>
              <w:marRight w:val="0"/>
              <w:marTop w:val="0"/>
              <w:marBottom w:val="0"/>
              <w:divBdr>
                <w:top w:val="none" w:sz="0" w:space="0" w:color="auto"/>
                <w:left w:val="none" w:sz="0" w:space="0" w:color="auto"/>
                <w:bottom w:val="none" w:sz="0" w:space="0" w:color="auto"/>
                <w:right w:val="none" w:sz="0" w:space="0" w:color="auto"/>
              </w:divBdr>
              <w:divsChild>
                <w:div w:id="597714780">
                  <w:marLeft w:val="0"/>
                  <w:marRight w:val="0"/>
                  <w:marTop w:val="0"/>
                  <w:marBottom w:val="0"/>
                  <w:divBdr>
                    <w:top w:val="none" w:sz="0" w:space="0" w:color="auto"/>
                    <w:left w:val="none" w:sz="0" w:space="0" w:color="auto"/>
                    <w:bottom w:val="none" w:sz="0" w:space="0" w:color="auto"/>
                    <w:right w:val="none" w:sz="0" w:space="0" w:color="auto"/>
                  </w:divBdr>
                  <w:divsChild>
                    <w:div w:id="181849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854327">
      <w:bodyDiv w:val="1"/>
      <w:marLeft w:val="0"/>
      <w:marRight w:val="0"/>
      <w:marTop w:val="0"/>
      <w:marBottom w:val="0"/>
      <w:divBdr>
        <w:top w:val="none" w:sz="0" w:space="0" w:color="auto"/>
        <w:left w:val="none" w:sz="0" w:space="0" w:color="auto"/>
        <w:bottom w:val="none" w:sz="0" w:space="0" w:color="auto"/>
        <w:right w:val="none" w:sz="0" w:space="0" w:color="auto"/>
      </w:divBdr>
      <w:divsChild>
        <w:div w:id="867109154">
          <w:marLeft w:val="0"/>
          <w:marRight w:val="0"/>
          <w:marTop w:val="0"/>
          <w:marBottom w:val="0"/>
          <w:divBdr>
            <w:top w:val="none" w:sz="0" w:space="0" w:color="auto"/>
            <w:left w:val="none" w:sz="0" w:space="0" w:color="auto"/>
            <w:bottom w:val="none" w:sz="0" w:space="0" w:color="auto"/>
            <w:right w:val="none" w:sz="0" w:space="0" w:color="auto"/>
          </w:divBdr>
          <w:divsChild>
            <w:div w:id="91181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44592">
      <w:bodyDiv w:val="1"/>
      <w:marLeft w:val="0"/>
      <w:marRight w:val="0"/>
      <w:marTop w:val="0"/>
      <w:marBottom w:val="0"/>
      <w:divBdr>
        <w:top w:val="none" w:sz="0" w:space="0" w:color="auto"/>
        <w:left w:val="none" w:sz="0" w:space="0" w:color="auto"/>
        <w:bottom w:val="none" w:sz="0" w:space="0" w:color="auto"/>
        <w:right w:val="none" w:sz="0" w:space="0" w:color="auto"/>
      </w:divBdr>
      <w:divsChild>
        <w:div w:id="643120138">
          <w:marLeft w:val="0"/>
          <w:marRight w:val="0"/>
          <w:marTop w:val="0"/>
          <w:marBottom w:val="0"/>
          <w:divBdr>
            <w:top w:val="none" w:sz="0" w:space="0" w:color="auto"/>
            <w:left w:val="none" w:sz="0" w:space="0" w:color="auto"/>
            <w:bottom w:val="none" w:sz="0" w:space="0" w:color="auto"/>
            <w:right w:val="none" w:sz="0" w:space="0" w:color="auto"/>
          </w:divBdr>
          <w:divsChild>
            <w:div w:id="15584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35596">
      <w:bodyDiv w:val="1"/>
      <w:marLeft w:val="0"/>
      <w:marRight w:val="0"/>
      <w:marTop w:val="0"/>
      <w:marBottom w:val="0"/>
      <w:divBdr>
        <w:top w:val="none" w:sz="0" w:space="0" w:color="auto"/>
        <w:left w:val="none" w:sz="0" w:space="0" w:color="auto"/>
        <w:bottom w:val="none" w:sz="0" w:space="0" w:color="auto"/>
        <w:right w:val="none" w:sz="0" w:space="0" w:color="auto"/>
      </w:divBdr>
      <w:divsChild>
        <w:div w:id="297761893">
          <w:marLeft w:val="0"/>
          <w:marRight w:val="0"/>
          <w:marTop w:val="0"/>
          <w:marBottom w:val="0"/>
          <w:divBdr>
            <w:top w:val="none" w:sz="0" w:space="0" w:color="auto"/>
            <w:left w:val="none" w:sz="0" w:space="0" w:color="auto"/>
            <w:bottom w:val="none" w:sz="0" w:space="0" w:color="auto"/>
            <w:right w:val="none" w:sz="0" w:space="0" w:color="auto"/>
          </w:divBdr>
          <w:divsChild>
            <w:div w:id="1457678580">
              <w:marLeft w:val="0"/>
              <w:marRight w:val="0"/>
              <w:marTop w:val="0"/>
              <w:marBottom w:val="0"/>
              <w:divBdr>
                <w:top w:val="none" w:sz="0" w:space="0" w:color="auto"/>
                <w:left w:val="none" w:sz="0" w:space="0" w:color="auto"/>
                <w:bottom w:val="none" w:sz="0" w:space="0" w:color="auto"/>
                <w:right w:val="none" w:sz="0" w:space="0" w:color="auto"/>
              </w:divBdr>
              <w:divsChild>
                <w:div w:id="1823042860">
                  <w:marLeft w:val="0"/>
                  <w:marRight w:val="0"/>
                  <w:marTop w:val="0"/>
                  <w:marBottom w:val="0"/>
                  <w:divBdr>
                    <w:top w:val="none" w:sz="0" w:space="0" w:color="auto"/>
                    <w:left w:val="none" w:sz="0" w:space="0" w:color="auto"/>
                    <w:bottom w:val="none" w:sz="0" w:space="0" w:color="auto"/>
                    <w:right w:val="none" w:sz="0" w:space="0" w:color="auto"/>
                  </w:divBdr>
                  <w:divsChild>
                    <w:div w:id="19960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81145">
      <w:bodyDiv w:val="1"/>
      <w:marLeft w:val="0"/>
      <w:marRight w:val="0"/>
      <w:marTop w:val="0"/>
      <w:marBottom w:val="0"/>
      <w:divBdr>
        <w:top w:val="none" w:sz="0" w:space="0" w:color="auto"/>
        <w:left w:val="none" w:sz="0" w:space="0" w:color="auto"/>
        <w:bottom w:val="none" w:sz="0" w:space="0" w:color="auto"/>
        <w:right w:val="none" w:sz="0" w:space="0" w:color="auto"/>
      </w:divBdr>
      <w:divsChild>
        <w:div w:id="2132942853">
          <w:marLeft w:val="0"/>
          <w:marRight w:val="0"/>
          <w:marTop w:val="0"/>
          <w:marBottom w:val="0"/>
          <w:divBdr>
            <w:top w:val="none" w:sz="0" w:space="0" w:color="auto"/>
            <w:left w:val="none" w:sz="0" w:space="0" w:color="auto"/>
            <w:bottom w:val="none" w:sz="0" w:space="0" w:color="auto"/>
            <w:right w:val="none" w:sz="0" w:space="0" w:color="auto"/>
          </w:divBdr>
          <w:divsChild>
            <w:div w:id="153978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3321">
      <w:bodyDiv w:val="1"/>
      <w:marLeft w:val="0"/>
      <w:marRight w:val="0"/>
      <w:marTop w:val="0"/>
      <w:marBottom w:val="0"/>
      <w:divBdr>
        <w:top w:val="none" w:sz="0" w:space="0" w:color="auto"/>
        <w:left w:val="none" w:sz="0" w:space="0" w:color="auto"/>
        <w:bottom w:val="none" w:sz="0" w:space="0" w:color="auto"/>
        <w:right w:val="none" w:sz="0" w:space="0" w:color="auto"/>
      </w:divBdr>
      <w:divsChild>
        <w:div w:id="1600336078">
          <w:marLeft w:val="0"/>
          <w:marRight w:val="0"/>
          <w:marTop w:val="0"/>
          <w:marBottom w:val="0"/>
          <w:divBdr>
            <w:top w:val="none" w:sz="0" w:space="0" w:color="auto"/>
            <w:left w:val="none" w:sz="0" w:space="0" w:color="auto"/>
            <w:bottom w:val="none" w:sz="0" w:space="0" w:color="auto"/>
            <w:right w:val="none" w:sz="0" w:space="0" w:color="auto"/>
          </w:divBdr>
          <w:divsChild>
            <w:div w:id="189106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5547">
      <w:bodyDiv w:val="1"/>
      <w:marLeft w:val="0"/>
      <w:marRight w:val="0"/>
      <w:marTop w:val="0"/>
      <w:marBottom w:val="0"/>
      <w:divBdr>
        <w:top w:val="none" w:sz="0" w:space="0" w:color="auto"/>
        <w:left w:val="none" w:sz="0" w:space="0" w:color="auto"/>
        <w:bottom w:val="none" w:sz="0" w:space="0" w:color="auto"/>
        <w:right w:val="none" w:sz="0" w:space="0" w:color="auto"/>
      </w:divBdr>
      <w:divsChild>
        <w:div w:id="776949001">
          <w:marLeft w:val="0"/>
          <w:marRight w:val="0"/>
          <w:marTop w:val="0"/>
          <w:marBottom w:val="0"/>
          <w:divBdr>
            <w:top w:val="none" w:sz="0" w:space="0" w:color="auto"/>
            <w:left w:val="none" w:sz="0" w:space="0" w:color="auto"/>
            <w:bottom w:val="none" w:sz="0" w:space="0" w:color="auto"/>
            <w:right w:val="none" w:sz="0" w:space="0" w:color="auto"/>
          </w:divBdr>
          <w:divsChild>
            <w:div w:id="14307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43723">
      <w:bodyDiv w:val="1"/>
      <w:marLeft w:val="0"/>
      <w:marRight w:val="0"/>
      <w:marTop w:val="0"/>
      <w:marBottom w:val="0"/>
      <w:divBdr>
        <w:top w:val="none" w:sz="0" w:space="0" w:color="auto"/>
        <w:left w:val="none" w:sz="0" w:space="0" w:color="auto"/>
        <w:bottom w:val="none" w:sz="0" w:space="0" w:color="auto"/>
        <w:right w:val="none" w:sz="0" w:space="0" w:color="auto"/>
      </w:divBdr>
      <w:divsChild>
        <w:div w:id="7296792">
          <w:marLeft w:val="0"/>
          <w:marRight w:val="0"/>
          <w:marTop w:val="0"/>
          <w:marBottom w:val="0"/>
          <w:divBdr>
            <w:top w:val="none" w:sz="0" w:space="0" w:color="auto"/>
            <w:left w:val="none" w:sz="0" w:space="0" w:color="auto"/>
            <w:bottom w:val="none" w:sz="0" w:space="0" w:color="auto"/>
            <w:right w:val="none" w:sz="0" w:space="0" w:color="auto"/>
          </w:divBdr>
          <w:divsChild>
            <w:div w:id="1709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27635">
      <w:bodyDiv w:val="1"/>
      <w:marLeft w:val="0"/>
      <w:marRight w:val="0"/>
      <w:marTop w:val="0"/>
      <w:marBottom w:val="0"/>
      <w:divBdr>
        <w:top w:val="none" w:sz="0" w:space="0" w:color="auto"/>
        <w:left w:val="none" w:sz="0" w:space="0" w:color="auto"/>
        <w:bottom w:val="none" w:sz="0" w:space="0" w:color="auto"/>
        <w:right w:val="none" w:sz="0" w:space="0" w:color="auto"/>
      </w:divBdr>
      <w:divsChild>
        <w:div w:id="74398957">
          <w:marLeft w:val="0"/>
          <w:marRight w:val="0"/>
          <w:marTop w:val="0"/>
          <w:marBottom w:val="0"/>
          <w:divBdr>
            <w:top w:val="none" w:sz="0" w:space="0" w:color="auto"/>
            <w:left w:val="none" w:sz="0" w:space="0" w:color="auto"/>
            <w:bottom w:val="none" w:sz="0" w:space="0" w:color="auto"/>
            <w:right w:val="none" w:sz="0" w:space="0" w:color="auto"/>
          </w:divBdr>
          <w:divsChild>
            <w:div w:id="1855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5842">
      <w:bodyDiv w:val="1"/>
      <w:marLeft w:val="0"/>
      <w:marRight w:val="0"/>
      <w:marTop w:val="0"/>
      <w:marBottom w:val="0"/>
      <w:divBdr>
        <w:top w:val="none" w:sz="0" w:space="0" w:color="auto"/>
        <w:left w:val="none" w:sz="0" w:space="0" w:color="auto"/>
        <w:bottom w:val="none" w:sz="0" w:space="0" w:color="auto"/>
        <w:right w:val="none" w:sz="0" w:space="0" w:color="auto"/>
      </w:divBdr>
      <w:divsChild>
        <w:div w:id="237861979">
          <w:marLeft w:val="0"/>
          <w:marRight w:val="0"/>
          <w:marTop w:val="0"/>
          <w:marBottom w:val="0"/>
          <w:divBdr>
            <w:top w:val="none" w:sz="0" w:space="0" w:color="auto"/>
            <w:left w:val="none" w:sz="0" w:space="0" w:color="auto"/>
            <w:bottom w:val="none" w:sz="0" w:space="0" w:color="auto"/>
            <w:right w:val="none" w:sz="0" w:space="0" w:color="auto"/>
          </w:divBdr>
          <w:divsChild>
            <w:div w:id="148059527">
              <w:marLeft w:val="0"/>
              <w:marRight w:val="0"/>
              <w:marTop w:val="0"/>
              <w:marBottom w:val="0"/>
              <w:divBdr>
                <w:top w:val="none" w:sz="0" w:space="0" w:color="auto"/>
                <w:left w:val="none" w:sz="0" w:space="0" w:color="auto"/>
                <w:bottom w:val="none" w:sz="0" w:space="0" w:color="auto"/>
                <w:right w:val="none" w:sz="0" w:space="0" w:color="auto"/>
              </w:divBdr>
              <w:divsChild>
                <w:div w:id="1644653976">
                  <w:marLeft w:val="0"/>
                  <w:marRight w:val="0"/>
                  <w:marTop w:val="0"/>
                  <w:marBottom w:val="0"/>
                  <w:divBdr>
                    <w:top w:val="none" w:sz="0" w:space="0" w:color="auto"/>
                    <w:left w:val="none" w:sz="0" w:space="0" w:color="auto"/>
                    <w:bottom w:val="none" w:sz="0" w:space="0" w:color="auto"/>
                    <w:right w:val="none" w:sz="0" w:space="0" w:color="auto"/>
                  </w:divBdr>
                  <w:divsChild>
                    <w:div w:id="18497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786650">
      <w:bodyDiv w:val="1"/>
      <w:marLeft w:val="0"/>
      <w:marRight w:val="0"/>
      <w:marTop w:val="0"/>
      <w:marBottom w:val="0"/>
      <w:divBdr>
        <w:top w:val="none" w:sz="0" w:space="0" w:color="auto"/>
        <w:left w:val="none" w:sz="0" w:space="0" w:color="auto"/>
        <w:bottom w:val="none" w:sz="0" w:space="0" w:color="auto"/>
        <w:right w:val="none" w:sz="0" w:space="0" w:color="auto"/>
      </w:divBdr>
      <w:divsChild>
        <w:div w:id="1260260979">
          <w:marLeft w:val="0"/>
          <w:marRight w:val="0"/>
          <w:marTop w:val="0"/>
          <w:marBottom w:val="0"/>
          <w:divBdr>
            <w:top w:val="none" w:sz="0" w:space="0" w:color="auto"/>
            <w:left w:val="none" w:sz="0" w:space="0" w:color="auto"/>
            <w:bottom w:val="none" w:sz="0" w:space="0" w:color="auto"/>
            <w:right w:val="none" w:sz="0" w:space="0" w:color="auto"/>
          </w:divBdr>
          <w:divsChild>
            <w:div w:id="142993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98125">
      <w:bodyDiv w:val="1"/>
      <w:marLeft w:val="0"/>
      <w:marRight w:val="0"/>
      <w:marTop w:val="0"/>
      <w:marBottom w:val="0"/>
      <w:divBdr>
        <w:top w:val="none" w:sz="0" w:space="0" w:color="auto"/>
        <w:left w:val="none" w:sz="0" w:space="0" w:color="auto"/>
        <w:bottom w:val="none" w:sz="0" w:space="0" w:color="auto"/>
        <w:right w:val="none" w:sz="0" w:space="0" w:color="auto"/>
      </w:divBdr>
      <w:divsChild>
        <w:div w:id="508910695">
          <w:marLeft w:val="0"/>
          <w:marRight w:val="0"/>
          <w:marTop w:val="0"/>
          <w:marBottom w:val="0"/>
          <w:divBdr>
            <w:top w:val="none" w:sz="0" w:space="0" w:color="auto"/>
            <w:left w:val="none" w:sz="0" w:space="0" w:color="auto"/>
            <w:bottom w:val="none" w:sz="0" w:space="0" w:color="auto"/>
            <w:right w:val="none" w:sz="0" w:space="0" w:color="auto"/>
          </w:divBdr>
          <w:divsChild>
            <w:div w:id="167214236">
              <w:marLeft w:val="0"/>
              <w:marRight w:val="0"/>
              <w:marTop w:val="0"/>
              <w:marBottom w:val="0"/>
              <w:divBdr>
                <w:top w:val="none" w:sz="0" w:space="0" w:color="auto"/>
                <w:left w:val="none" w:sz="0" w:space="0" w:color="auto"/>
                <w:bottom w:val="none" w:sz="0" w:space="0" w:color="auto"/>
                <w:right w:val="none" w:sz="0" w:space="0" w:color="auto"/>
              </w:divBdr>
              <w:divsChild>
                <w:div w:id="1912736685">
                  <w:marLeft w:val="0"/>
                  <w:marRight w:val="0"/>
                  <w:marTop w:val="0"/>
                  <w:marBottom w:val="0"/>
                  <w:divBdr>
                    <w:top w:val="none" w:sz="0" w:space="0" w:color="auto"/>
                    <w:left w:val="none" w:sz="0" w:space="0" w:color="auto"/>
                    <w:bottom w:val="none" w:sz="0" w:space="0" w:color="auto"/>
                    <w:right w:val="none" w:sz="0" w:space="0" w:color="auto"/>
                  </w:divBdr>
                  <w:divsChild>
                    <w:div w:id="17778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534384">
      <w:bodyDiv w:val="1"/>
      <w:marLeft w:val="0"/>
      <w:marRight w:val="0"/>
      <w:marTop w:val="0"/>
      <w:marBottom w:val="0"/>
      <w:divBdr>
        <w:top w:val="none" w:sz="0" w:space="0" w:color="auto"/>
        <w:left w:val="none" w:sz="0" w:space="0" w:color="auto"/>
        <w:bottom w:val="none" w:sz="0" w:space="0" w:color="auto"/>
        <w:right w:val="none" w:sz="0" w:space="0" w:color="auto"/>
      </w:divBdr>
      <w:divsChild>
        <w:div w:id="2135052193">
          <w:marLeft w:val="0"/>
          <w:marRight w:val="0"/>
          <w:marTop w:val="0"/>
          <w:marBottom w:val="0"/>
          <w:divBdr>
            <w:top w:val="none" w:sz="0" w:space="0" w:color="auto"/>
            <w:left w:val="none" w:sz="0" w:space="0" w:color="auto"/>
            <w:bottom w:val="none" w:sz="0" w:space="0" w:color="auto"/>
            <w:right w:val="none" w:sz="0" w:space="0" w:color="auto"/>
          </w:divBdr>
          <w:divsChild>
            <w:div w:id="987133403">
              <w:marLeft w:val="0"/>
              <w:marRight w:val="0"/>
              <w:marTop w:val="0"/>
              <w:marBottom w:val="0"/>
              <w:divBdr>
                <w:top w:val="none" w:sz="0" w:space="0" w:color="auto"/>
                <w:left w:val="none" w:sz="0" w:space="0" w:color="auto"/>
                <w:bottom w:val="none" w:sz="0" w:space="0" w:color="auto"/>
                <w:right w:val="none" w:sz="0" w:space="0" w:color="auto"/>
              </w:divBdr>
              <w:divsChild>
                <w:div w:id="937560023">
                  <w:marLeft w:val="0"/>
                  <w:marRight w:val="0"/>
                  <w:marTop w:val="0"/>
                  <w:marBottom w:val="0"/>
                  <w:divBdr>
                    <w:top w:val="none" w:sz="0" w:space="0" w:color="auto"/>
                    <w:left w:val="none" w:sz="0" w:space="0" w:color="auto"/>
                    <w:bottom w:val="none" w:sz="0" w:space="0" w:color="auto"/>
                    <w:right w:val="none" w:sz="0" w:space="0" w:color="auto"/>
                  </w:divBdr>
                  <w:divsChild>
                    <w:div w:id="46199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22514">
      <w:bodyDiv w:val="1"/>
      <w:marLeft w:val="0"/>
      <w:marRight w:val="0"/>
      <w:marTop w:val="0"/>
      <w:marBottom w:val="0"/>
      <w:divBdr>
        <w:top w:val="none" w:sz="0" w:space="0" w:color="auto"/>
        <w:left w:val="none" w:sz="0" w:space="0" w:color="auto"/>
        <w:bottom w:val="none" w:sz="0" w:space="0" w:color="auto"/>
        <w:right w:val="none" w:sz="0" w:space="0" w:color="auto"/>
      </w:divBdr>
      <w:divsChild>
        <w:div w:id="152182889">
          <w:marLeft w:val="0"/>
          <w:marRight w:val="0"/>
          <w:marTop w:val="0"/>
          <w:marBottom w:val="0"/>
          <w:divBdr>
            <w:top w:val="none" w:sz="0" w:space="0" w:color="auto"/>
            <w:left w:val="none" w:sz="0" w:space="0" w:color="auto"/>
            <w:bottom w:val="none" w:sz="0" w:space="0" w:color="auto"/>
            <w:right w:val="none" w:sz="0" w:space="0" w:color="auto"/>
          </w:divBdr>
          <w:divsChild>
            <w:div w:id="198627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3392">
      <w:bodyDiv w:val="1"/>
      <w:marLeft w:val="0"/>
      <w:marRight w:val="0"/>
      <w:marTop w:val="0"/>
      <w:marBottom w:val="0"/>
      <w:divBdr>
        <w:top w:val="none" w:sz="0" w:space="0" w:color="auto"/>
        <w:left w:val="none" w:sz="0" w:space="0" w:color="auto"/>
        <w:bottom w:val="none" w:sz="0" w:space="0" w:color="auto"/>
        <w:right w:val="none" w:sz="0" w:space="0" w:color="auto"/>
      </w:divBdr>
      <w:divsChild>
        <w:div w:id="1653414390">
          <w:marLeft w:val="0"/>
          <w:marRight w:val="0"/>
          <w:marTop w:val="0"/>
          <w:marBottom w:val="0"/>
          <w:divBdr>
            <w:top w:val="none" w:sz="0" w:space="0" w:color="auto"/>
            <w:left w:val="none" w:sz="0" w:space="0" w:color="auto"/>
            <w:bottom w:val="none" w:sz="0" w:space="0" w:color="auto"/>
            <w:right w:val="none" w:sz="0" w:space="0" w:color="auto"/>
          </w:divBdr>
          <w:divsChild>
            <w:div w:id="4878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232388">
      <w:bodyDiv w:val="1"/>
      <w:marLeft w:val="0"/>
      <w:marRight w:val="0"/>
      <w:marTop w:val="0"/>
      <w:marBottom w:val="0"/>
      <w:divBdr>
        <w:top w:val="none" w:sz="0" w:space="0" w:color="auto"/>
        <w:left w:val="none" w:sz="0" w:space="0" w:color="auto"/>
        <w:bottom w:val="none" w:sz="0" w:space="0" w:color="auto"/>
        <w:right w:val="none" w:sz="0" w:space="0" w:color="auto"/>
      </w:divBdr>
      <w:divsChild>
        <w:div w:id="425003719">
          <w:marLeft w:val="0"/>
          <w:marRight w:val="0"/>
          <w:marTop w:val="0"/>
          <w:marBottom w:val="0"/>
          <w:divBdr>
            <w:top w:val="none" w:sz="0" w:space="0" w:color="auto"/>
            <w:left w:val="none" w:sz="0" w:space="0" w:color="auto"/>
            <w:bottom w:val="none" w:sz="0" w:space="0" w:color="auto"/>
            <w:right w:val="none" w:sz="0" w:space="0" w:color="auto"/>
          </w:divBdr>
          <w:divsChild>
            <w:div w:id="19162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47291">
      <w:bodyDiv w:val="1"/>
      <w:marLeft w:val="0"/>
      <w:marRight w:val="0"/>
      <w:marTop w:val="0"/>
      <w:marBottom w:val="0"/>
      <w:divBdr>
        <w:top w:val="none" w:sz="0" w:space="0" w:color="auto"/>
        <w:left w:val="none" w:sz="0" w:space="0" w:color="auto"/>
        <w:bottom w:val="none" w:sz="0" w:space="0" w:color="auto"/>
        <w:right w:val="none" w:sz="0" w:space="0" w:color="auto"/>
      </w:divBdr>
      <w:divsChild>
        <w:div w:id="1024743547">
          <w:marLeft w:val="0"/>
          <w:marRight w:val="0"/>
          <w:marTop w:val="0"/>
          <w:marBottom w:val="0"/>
          <w:divBdr>
            <w:top w:val="none" w:sz="0" w:space="0" w:color="auto"/>
            <w:left w:val="none" w:sz="0" w:space="0" w:color="auto"/>
            <w:bottom w:val="none" w:sz="0" w:space="0" w:color="auto"/>
            <w:right w:val="none" w:sz="0" w:space="0" w:color="auto"/>
          </w:divBdr>
          <w:divsChild>
            <w:div w:id="978345318">
              <w:marLeft w:val="0"/>
              <w:marRight w:val="0"/>
              <w:marTop w:val="0"/>
              <w:marBottom w:val="0"/>
              <w:divBdr>
                <w:top w:val="none" w:sz="0" w:space="0" w:color="auto"/>
                <w:left w:val="none" w:sz="0" w:space="0" w:color="auto"/>
                <w:bottom w:val="none" w:sz="0" w:space="0" w:color="auto"/>
                <w:right w:val="none" w:sz="0" w:space="0" w:color="auto"/>
              </w:divBdr>
              <w:divsChild>
                <w:div w:id="1295408216">
                  <w:marLeft w:val="0"/>
                  <w:marRight w:val="0"/>
                  <w:marTop w:val="0"/>
                  <w:marBottom w:val="0"/>
                  <w:divBdr>
                    <w:top w:val="none" w:sz="0" w:space="0" w:color="auto"/>
                    <w:left w:val="none" w:sz="0" w:space="0" w:color="auto"/>
                    <w:bottom w:val="none" w:sz="0" w:space="0" w:color="auto"/>
                    <w:right w:val="none" w:sz="0" w:space="0" w:color="auto"/>
                  </w:divBdr>
                  <w:divsChild>
                    <w:div w:id="84771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562036">
      <w:bodyDiv w:val="1"/>
      <w:marLeft w:val="0"/>
      <w:marRight w:val="0"/>
      <w:marTop w:val="0"/>
      <w:marBottom w:val="0"/>
      <w:divBdr>
        <w:top w:val="none" w:sz="0" w:space="0" w:color="auto"/>
        <w:left w:val="none" w:sz="0" w:space="0" w:color="auto"/>
        <w:bottom w:val="none" w:sz="0" w:space="0" w:color="auto"/>
        <w:right w:val="none" w:sz="0" w:space="0" w:color="auto"/>
      </w:divBdr>
      <w:divsChild>
        <w:div w:id="333462719">
          <w:marLeft w:val="0"/>
          <w:marRight w:val="0"/>
          <w:marTop w:val="0"/>
          <w:marBottom w:val="0"/>
          <w:divBdr>
            <w:top w:val="none" w:sz="0" w:space="0" w:color="auto"/>
            <w:left w:val="none" w:sz="0" w:space="0" w:color="auto"/>
            <w:bottom w:val="none" w:sz="0" w:space="0" w:color="auto"/>
            <w:right w:val="none" w:sz="0" w:space="0" w:color="auto"/>
          </w:divBdr>
          <w:divsChild>
            <w:div w:id="1067730576">
              <w:marLeft w:val="0"/>
              <w:marRight w:val="0"/>
              <w:marTop w:val="0"/>
              <w:marBottom w:val="0"/>
              <w:divBdr>
                <w:top w:val="none" w:sz="0" w:space="0" w:color="auto"/>
                <w:left w:val="none" w:sz="0" w:space="0" w:color="auto"/>
                <w:bottom w:val="none" w:sz="0" w:space="0" w:color="auto"/>
                <w:right w:val="none" w:sz="0" w:space="0" w:color="auto"/>
              </w:divBdr>
              <w:divsChild>
                <w:div w:id="1912500180">
                  <w:marLeft w:val="0"/>
                  <w:marRight w:val="0"/>
                  <w:marTop w:val="0"/>
                  <w:marBottom w:val="0"/>
                  <w:divBdr>
                    <w:top w:val="none" w:sz="0" w:space="0" w:color="auto"/>
                    <w:left w:val="none" w:sz="0" w:space="0" w:color="auto"/>
                    <w:bottom w:val="none" w:sz="0" w:space="0" w:color="auto"/>
                    <w:right w:val="none" w:sz="0" w:space="0" w:color="auto"/>
                  </w:divBdr>
                  <w:divsChild>
                    <w:div w:id="84227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A1C14-0B86-4533-A1A8-E940DB14A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8</Pages>
  <Words>2673</Words>
  <Characters>15241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Brave</dc:creator>
  <cp:keywords/>
  <dc:description/>
  <cp:lastModifiedBy>Michael Brave</cp:lastModifiedBy>
  <cp:revision>22</cp:revision>
  <dcterms:created xsi:type="dcterms:W3CDTF">2025-09-18T14:32:00Z</dcterms:created>
  <dcterms:modified xsi:type="dcterms:W3CDTF">2025-09-19T01:10:00Z</dcterms:modified>
</cp:coreProperties>
</file>