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0BA" w:rsidRPr="00385A43" w:rsidRDefault="007940BA" w:rsidP="007940BA">
      <w:pPr>
        <w:spacing w:line="240" w:lineRule="exact"/>
        <w:rPr>
          <w:sz w:val="28"/>
          <w:szCs w:val="28"/>
        </w:rPr>
      </w:pPr>
      <w:r w:rsidRPr="00385A43">
        <w:rPr>
          <w:sz w:val="28"/>
          <w:szCs w:val="28"/>
        </w:rPr>
        <w:t>JAMES E. BROWN</w:t>
      </w:r>
      <w:r w:rsidR="00C3701C" w:rsidRPr="00385A43">
        <w:rPr>
          <w:sz w:val="28"/>
          <w:szCs w:val="28"/>
        </w:rPr>
        <w:t>, Assistant County Counsel</w:t>
      </w:r>
      <w:r w:rsidRPr="00385A43">
        <w:rPr>
          <w:sz w:val="28"/>
          <w:szCs w:val="28"/>
        </w:rPr>
        <w:t xml:space="preserve"> (SBN 162579)</w:t>
      </w:r>
    </w:p>
    <w:p w:rsidR="002F1990" w:rsidRDefault="002F1990" w:rsidP="00C3701C">
      <w:pPr>
        <w:spacing w:line="240" w:lineRule="exact"/>
        <w:rPr>
          <w:sz w:val="28"/>
          <w:szCs w:val="28"/>
        </w:rPr>
      </w:pPr>
      <w:r w:rsidRPr="002F1990">
        <w:rPr>
          <w:sz w:val="28"/>
          <w:szCs w:val="28"/>
        </w:rPr>
        <w:t>RONAK N. PATEL</w:t>
      </w:r>
      <w:r>
        <w:rPr>
          <w:sz w:val="28"/>
          <w:szCs w:val="28"/>
        </w:rPr>
        <w:t>, Deputy County Counsel</w:t>
      </w:r>
      <w:r w:rsidRPr="002F1990">
        <w:rPr>
          <w:sz w:val="28"/>
          <w:szCs w:val="28"/>
        </w:rPr>
        <w:t xml:space="preserve"> (SBN 249982)</w:t>
      </w:r>
    </w:p>
    <w:p w:rsidR="00C3701C" w:rsidRDefault="00C3701C" w:rsidP="00C3701C">
      <w:pPr>
        <w:spacing w:line="240" w:lineRule="exact"/>
        <w:rPr>
          <w:sz w:val="28"/>
          <w:szCs w:val="28"/>
        </w:rPr>
      </w:pPr>
      <w:r w:rsidRPr="00385A43">
        <w:rPr>
          <w:sz w:val="28"/>
          <w:szCs w:val="28"/>
        </w:rPr>
        <w:t>KELLY A. MORAN, Deputy County Counsel (SBN 267147)</w:t>
      </w:r>
    </w:p>
    <w:p w:rsidR="008D528C" w:rsidRPr="00385A43" w:rsidRDefault="008D528C" w:rsidP="00C3701C">
      <w:pPr>
        <w:spacing w:line="240" w:lineRule="exact"/>
        <w:rPr>
          <w:sz w:val="28"/>
          <w:szCs w:val="28"/>
        </w:rPr>
      </w:pPr>
      <w:r>
        <w:rPr>
          <w:sz w:val="28"/>
          <w:szCs w:val="28"/>
        </w:rPr>
        <w:t xml:space="preserve">OFFICE OF COUNTY COUNSEL </w:t>
      </w:r>
    </w:p>
    <w:p w:rsidR="007940BA" w:rsidRPr="00385A43" w:rsidRDefault="007940BA" w:rsidP="007940BA">
      <w:pPr>
        <w:spacing w:line="240" w:lineRule="exact"/>
        <w:rPr>
          <w:sz w:val="28"/>
          <w:szCs w:val="28"/>
        </w:rPr>
      </w:pPr>
      <w:r w:rsidRPr="00385A43">
        <w:rPr>
          <w:sz w:val="28"/>
          <w:szCs w:val="28"/>
        </w:rPr>
        <w:t>3960 Orange Street, Suite 500</w:t>
      </w:r>
    </w:p>
    <w:p w:rsidR="007940BA" w:rsidRPr="00385A43" w:rsidRDefault="007940BA" w:rsidP="007940BA">
      <w:pPr>
        <w:spacing w:line="240" w:lineRule="exact"/>
        <w:rPr>
          <w:sz w:val="28"/>
          <w:szCs w:val="28"/>
        </w:rPr>
      </w:pPr>
      <w:r w:rsidRPr="00385A43">
        <w:rPr>
          <w:sz w:val="28"/>
          <w:szCs w:val="28"/>
        </w:rPr>
        <w:t>Riverside, CA  92501-3674</w:t>
      </w:r>
    </w:p>
    <w:p w:rsidR="007940BA" w:rsidRPr="00385A43" w:rsidRDefault="007940BA" w:rsidP="007940BA">
      <w:pPr>
        <w:spacing w:line="240" w:lineRule="exact"/>
        <w:rPr>
          <w:sz w:val="28"/>
          <w:szCs w:val="28"/>
        </w:rPr>
      </w:pPr>
      <w:r w:rsidRPr="00385A43">
        <w:rPr>
          <w:sz w:val="28"/>
          <w:szCs w:val="28"/>
        </w:rPr>
        <w:t>Telephone:  (951) 955-6300</w:t>
      </w:r>
    </w:p>
    <w:p w:rsidR="007940BA" w:rsidRPr="00385A43" w:rsidRDefault="007940BA" w:rsidP="007940BA">
      <w:pPr>
        <w:spacing w:line="240" w:lineRule="exact"/>
        <w:rPr>
          <w:sz w:val="28"/>
          <w:szCs w:val="28"/>
        </w:rPr>
      </w:pPr>
      <w:r w:rsidRPr="00385A43">
        <w:rPr>
          <w:sz w:val="28"/>
          <w:szCs w:val="28"/>
        </w:rPr>
        <w:t>Facsimile:   (951) 955-6363</w:t>
      </w:r>
    </w:p>
    <w:p w:rsidR="00C3701C" w:rsidRPr="00385A43" w:rsidRDefault="007940BA" w:rsidP="007940BA">
      <w:pPr>
        <w:spacing w:line="240" w:lineRule="exact"/>
        <w:rPr>
          <w:sz w:val="28"/>
          <w:szCs w:val="28"/>
        </w:rPr>
      </w:pPr>
      <w:r w:rsidRPr="00385A43">
        <w:rPr>
          <w:sz w:val="28"/>
          <w:szCs w:val="28"/>
        </w:rPr>
        <w:t>Email:</w:t>
      </w:r>
      <w:r w:rsidR="002F1990">
        <w:rPr>
          <w:sz w:val="28"/>
          <w:szCs w:val="28"/>
        </w:rPr>
        <w:t xml:space="preserve">    </w:t>
      </w:r>
      <w:hyperlink r:id="rId8" w:history="1">
        <w:r w:rsidR="00C3701C" w:rsidRPr="00385A43">
          <w:rPr>
            <w:rStyle w:val="Hyperlink"/>
            <w:sz w:val="28"/>
            <w:szCs w:val="28"/>
          </w:rPr>
          <w:t>kmoran@rivco.org</w:t>
        </w:r>
      </w:hyperlink>
      <w:r w:rsidR="00C3701C" w:rsidRPr="00385A43">
        <w:rPr>
          <w:sz w:val="28"/>
          <w:szCs w:val="28"/>
        </w:rPr>
        <w:t xml:space="preserve"> </w:t>
      </w:r>
      <w:r w:rsidRPr="00385A43">
        <w:rPr>
          <w:sz w:val="28"/>
          <w:szCs w:val="28"/>
        </w:rPr>
        <w:t xml:space="preserve"> </w:t>
      </w:r>
    </w:p>
    <w:p w:rsidR="007940BA" w:rsidRPr="00385A43" w:rsidRDefault="00C3701C" w:rsidP="007940BA">
      <w:pPr>
        <w:spacing w:line="240" w:lineRule="exact"/>
        <w:rPr>
          <w:sz w:val="28"/>
          <w:szCs w:val="28"/>
        </w:rPr>
      </w:pPr>
      <w:r w:rsidRPr="00385A43">
        <w:rPr>
          <w:sz w:val="28"/>
          <w:szCs w:val="28"/>
        </w:rPr>
        <w:tab/>
      </w:r>
    </w:p>
    <w:p w:rsidR="00857258" w:rsidRPr="00385A43" w:rsidRDefault="00857258" w:rsidP="00D810E3">
      <w:pPr>
        <w:spacing w:line="240" w:lineRule="exact"/>
        <w:rPr>
          <w:sz w:val="28"/>
          <w:szCs w:val="28"/>
        </w:rPr>
      </w:pPr>
    </w:p>
    <w:p w:rsidR="00CB6EE7" w:rsidRPr="00CB6EE7" w:rsidRDefault="002F60FA" w:rsidP="001F596F">
      <w:pPr>
        <w:autoSpaceDE w:val="0"/>
        <w:autoSpaceDN w:val="0"/>
        <w:adjustRightInd w:val="0"/>
        <w:spacing w:line="240" w:lineRule="exact"/>
        <w:jc w:val="both"/>
        <w:rPr>
          <w:sz w:val="28"/>
          <w:szCs w:val="28"/>
        </w:rPr>
      </w:pPr>
      <w:r w:rsidRPr="00385A43">
        <w:rPr>
          <w:sz w:val="28"/>
          <w:szCs w:val="28"/>
        </w:rPr>
        <w:t>Attorneys for</w:t>
      </w:r>
      <w:r w:rsidR="007934B4" w:rsidRPr="00385A43">
        <w:rPr>
          <w:sz w:val="28"/>
          <w:szCs w:val="28"/>
        </w:rPr>
        <w:t xml:space="preserve"> Defendant</w:t>
      </w:r>
      <w:r w:rsidR="00CB6EE7">
        <w:rPr>
          <w:sz w:val="28"/>
          <w:szCs w:val="28"/>
        </w:rPr>
        <w:t>s</w:t>
      </w:r>
      <w:r w:rsidR="007934B4" w:rsidRPr="00385A43">
        <w:rPr>
          <w:sz w:val="28"/>
          <w:szCs w:val="28"/>
        </w:rPr>
        <w:t>,</w:t>
      </w:r>
      <w:r w:rsidR="00CB6EE7">
        <w:rPr>
          <w:sz w:val="28"/>
          <w:szCs w:val="28"/>
        </w:rPr>
        <w:t xml:space="preserve"> </w:t>
      </w:r>
      <w:r w:rsidR="00CB6EE7" w:rsidRPr="00CB6EE7">
        <w:rPr>
          <w:sz w:val="28"/>
          <w:szCs w:val="28"/>
        </w:rPr>
        <w:t>CAMERON KAISER, in his official capacity as the</w:t>
      </w:r>
    </w:p>
    <w:p w:rsidR="00CB6EE7" w:rsidRPr="00CB6EE7" w:rsidRDefault="00CB6EE7" w:rsidP="001F596F">
      <w:pPr>
        <w:autoSpaceDE w:val="0"/>
        <w:autoSpaceDN w:val="0"/>
        <w:adjustRightInd w:val="0"/>
        <w:spacing w:line="240" w:lineRule="exact"/>
        <w:jc w:val="both"/>
        <w:rPr>
          <w:sz w:val="28"/>
          <w:szCs w:val="28"/>
        </w:rPr>
      </w:pPr>
      <w:r w:rsidRPr="00CB6EE7">
        <w:rPr>
          <w:sz w:val="28"/>
          <w:szCs w:val="28"/>
        </w:rPr>
        <w:t>Riverside County Public Health Officer; GEORGE JOHNSON, in his official capacity as</w:t>
      </w:r>
    </w:p>
    <w:p w:rsidR="00CB6EE7" w:rsidRPr="00CB6EE7" w:rsidRDefault="00CB6EE7" w:rsidP="001F596F">
      <w:pPr>
        <w:autoSpaceDE w:val="0"/>
        <w:autoSpaceDN w:val="0"/>
        <w:adjustRightInd w:val="0"/>
        <w:spacing w:line="240" w:lineRule="exact"/>
        <w:jc w:val="both"/>
        <w:rPr>
          <w:sz w:val="28"/>
          <w:szCs w:val="28"/>
        </w:rPr>
      </w:pPr>
      <w:r w:rsidRPr="00CB6EE7">
        <w:rPr>
          <w:sz w:val="28"/>
          <w:szCs w:val="28"/>
        </w:rPr>
        <w:t>Riverside County Executive Officer and Director of Emergency Services; CHAD BIANCO, in his official capacity as the Riverside County Sheriff; KEVIN JEFFRIES, in his official capacity as a Riverside County Supervisor; KAREN SPIEGEL, in her official</w:t>
      </w:r>
    </w:p>
    <w:p w:rsidR="007940BA" w:rsidRPr="00CB6EE7" w:rsidRDefault="00CB6EE7" w:rsidP="001F596F">
      <w:pPr>
        <w:autoSpaceDE w:val="0"/>
        <w:autoSpaceDN w:val="0"/>
        <w:adjustRightInd w:val="0"/>
        <w:spacing w:line="240" w:lineRule="exact"/>
        <w:jc w:val="both"/>
        <w:rPr>
          <w:sz w:val="28"/>
          <w:szCs w:val="28"/>
        </w:rPr>
      </w:pPr>
      <w:r w:rsidRPr="00CB6EE7">
        <w:rPr>
          <w:sz w:val="28"/>
          <w:szCs w:val="28"/>
        </w:rPr>
        <w:t>capacity as a Riverside County Supervisor; CHUCH WASHINGTON, in his official capacity as a Riverside County Supervisor; V. MANUEL PEREZ, in his official capacity as a Riverside County Supervisor; and JEFF HEWITT, in his official capacity as a Riverside County Supervisor</w:t>
      </w:r>
      <w:r w:rsidR="002F60FA" w:rsidRPr="00CB6EE7">
        <w:rPr>
          <w:sz w:val="28"/>
          <w:szCs w:val="28"/>
        </w:rPr>
        <w:t xml:space="preserve"> </w:t>
      </w:r>
    </w:p>
    <w:p w:rsidR="00C3701C" w:rsidRPr="00385A43" w:rsidRDefault="00C3701C" w:rsidP="007940BA">
      <w:pPr>
        <w:spacing w:line="240" w:lineRule="exact"/>
        <w:rPr>
          <w:sz w:val="28"/>
          <w:szCs w:val="28"/>
        </w:rPr>
      </w:pPr>
    </w:p>
    <w:p w:rsidR="002F60FA" w:rsidRPr="00385A43" w:rsidRDefault="002F60FA" w:rsidP="00D810E3">
      <w:pPr>
        <w:spacing w:line="240" w:lineRule="exact"/>
        <w:rPr>
          <w:sz w:val="28"/>
          <w:szCs w:val="28"/>
        </w:rPr>
      </w:pPr>
    </w:p>
    <w:p w:rsidR="002F60FA" w:rsidRPr="00385A43" w:rsidRDefault="00385A43" w:rsidP="00385A43">
      <w:pPr>
        <w:spacing w:line="240" w:lineRule="exact"/>
        <w:jc w:val="center"/>
        <w:rPr>
          <w:sz w:val="28"/>
          <w:szCs w:val="28"/>
        </w:rPr>
      </w:pPr>
      <w:r w:rsidRPr="00385A43">
        <w:rPr>
          <w:sz w:val="28"/>
          <w:szCs w:val="28"/>
        </w:rPr>
        <w:t>UNITED STATES DISTRICT COURT</w:t>
      </w:r>
    </w:p>
    <w:p w:rsidR="007940BA" w:rsidRPr="00385A43" w:rsidRDefault="007940BA" w:rsidP="00D810E3">
      <w:pPr>
        <w:spacing w:line="240" w:lineRule="exact"/>
        <w:rPr>
          <w:sz w:val="28"/>
          <w:szCs w:val="28"/>
        </w:rPr>
      </w:pPr>
    </w:p>
    <w:p w:rsidR="002F60FA" w:rsidRPr="00385A43" w:rsidRDefault="00385A43" w:rsidP="00D810E3">
      <w:pPr>
        <w:spacing w:line="240" w:lineRule="exact"/>
        <w:jc w:val="center"/>
        <w:rPr>
          <w:sz w:val="28"/>
          <w:szCs w:val="28"/>
        </w:rPr>
      </w:pPr>
      <w:r w:rsidRPr="00385A43">
        <w:rPr>
          <w:sz w:val="28"/>
          <w:szCs w:val="28"/>
        </w:rPr>
        <w:t xml:space="preserve">CENTRAL DISTRICT OF CALIFORNIA – EASTERN DIVISION </w:t>
      </w:r>
    </w:p>
    <w:p w:rsidR="002F60FA" w:rsidRPr="00385A43" w:rsidRDefault="002F60FA" w:rsidP="00D810E3">
      <w:pPr>
        <w:spacing w:line="240" w:lineRule="exact"/>
        <w:jc w:val="center"/>
        <w:rPr>
          <w:sz w:val="28"/>
          <w:szCs w:val="28"/>
        </w:rPr>
      </w:pPr>
    </w:p>
    <w:p w:rsidR="002F60FA" w:rsidRPr="00385A43" w:rsidRDefault="002F60FA" w:rsidP="00D810E3">
      <w:pPr>
        <w:spacing w:line="240" w:lineRule="exact"/>
        <w:rPr>
          <w:sz w:val="28"/>
          <w:szCs w:val="28"/>
        </w:rPr>
      </w:pPr>
    </w:p>
    <w:p w:rsidR="0099461F" w:rsidRPr="00385A43" w:rsidRDefault="0099461F" w:rsidP="00D810E3">
      <w:pPr>
        <w:spacing w:line="240" w:lineRule="exact"/>
        <w:rPr>
          <w:sz w:val="28"/>
          <w:szCs w:val="28"/>
        </w:rPr>
      </w:pPr>
    </w:p>
    <w:tbl>
      <w:tblPr>
        <w:tblW w:w="0" w:type="auto"/>
        <w:tblLayout w:type="fixed"/>
        <w:tblLook w:val="01E0" w:firstRow="1" w:lastRow="1" w:firstColumn="1" w:lastColumn="1" w:noHBand="0" w:noVBand="0"/>
      </w:tblPr>
      <w:tblGrid>
        <w:gridCol w:w="4916"/>
        <w:gridCol w:w="492"/>
        <w:gridCol w:w="5032"/>
      </w:tblGrid>
      <w:tr w:rsidR="00E34947" w:rsidRPr="00385A43" w:rsidTr="007A0D7F">
        <w:trPr>
          <w:trHeight w:val="2139"/>
        </w:trPr>
        <w:tc>
          <w:tcPr>
            <w:tcW w:w="4916" w:type="dxa"/>
          </w:tcPr>
          <w:p w:rsidR="007940BA" w:rsidRPr="00385A43" w:rsidRDefault="008D528C" w:rsidP="007940BA">
            <w:pPr>
              <w:spacing w:line="240" w:lineRule="exact"/>
              <w:rPr>
                <w:sz w:val="28"/>
                <w:szCs w:val="28"/>
              </w:rPr>
            </w:pPr>
            <w:r>
              <w:rPr>
                <w:sz w:val="28"/>
                <w:szCs w:val="28"/>
              </w:rPr>
              <w:t xml:space="preserve">WENDY GISH, an individual, </w:t>
            </w:r>
            <w:r w:rsidRPr="008D528C">
              <w:rPr>
                <w:i/>
                <w:sz w:val="28"/>
                <w:szCs w:val="28"/>
              </w:rPr>
              <w:t>et al.</w:t>
            </w:r>
            <w:r w:rsidR="007940BA" w:rsidRPr="00385A43">
              <w:rPr>
                <w:sz w:val="28"/>
                <w:szCs w:val="28"/>
              </w:rPr>
              <w:t>,</w:t>
            </w:r>
          </w:p>
          <w:p w:rsidR="007940BA" w:rsidRPr="00385A43" w:rsidRDefault="007940BA" w:rsidP="007940BA">
            <w:pPr>
              <w:tabs>
                <w:tab w:val="left" w:pos="2160"/>
                <w:tab w:val="right" w:pos="4700"/>
              </w:tabs>
              <w:spacing w:line="240" w:lineRule="exact"/>
              <w:rPr>
                <w:sz w:val="28"/>
                <w:szCs w:val="28"/>
              </w:rPr>
            </w:pPr>
          </w:p>
          <w:p w:rsidR="007940BA" w:rsidRPr="00385A43" w:rsidRDefault="007940BA" w:rsidP="007940BA">
            <w:pPr>
              <w:tabs>
                <w:tab w:val="left" w:pos="2160"/>
                <w:tab w:val="right" w:pos="4700"/>
              </w:tabs>
              <w:spacing w:line="240" w:lineRule="exact"/>
              <w:rPr>
                <w:sz w:val="28"/>
                <w:szCs w:val="28"/>
              </w:rPr>
            </w:pPr>
            <w:r w:rsidRPr="00385A43">
              <w:rPr>
                <w:sz w:val="28"/>
                <w:szCs w:val="28"/>
              </w:rPr>
              <w:tab/>
              <w:t>Plaintiff</w:t>
            </w:r>
            <w:r w:rsidR="008D528C">
              <w:rPr>
                <w:sz w:val="28"/>
                <w:szCs w:val="28"/>
              </w:rPr>
              <w:t>s</w:t>
            </w:r>
            <w:r w:rsidRPr="00385A43">
              <w:rPr>
                <w:sz w:val="28"/>
                <w:szCs w:val="28"/>
              </w:rPr>
              <w:t>,</w:t>
            </w:r>
          </w:p>
          <w:p w:rsidR="007940BA" w:rsidRPr="00385A43" w:rsidRDefault="007940BA" w:rsidP="007940BA">
            <w:pPr>
              <w:tabs>
                <w:tab w:val="left" w:pos="2160"/>
                <w:tab w:val="right" w:pos="4700"/>
              </w:tabs>
              <w:spacing w:line="240" w:lineRule="exact"/>
              <w:rPr>
                <w:sz w:val="28"/>
                <w:szCs w:val="28"/>
              </w:rPr>
            </w:pPr>
          </w:p>
          <w:p w:rsidR="007940BA" w:rsidRPr="00385A43" w:rsidRDefault="007940BA" w:rsidP="007940BA">
            <w:pPr>
              <w:tabs>
                <w:tab w:val="left" w:pos="2160"/>
                <w:tab w:val="right" w:pos="4700"/>
              </w:tabs>
              <w:spacing w:line="240" w:lineRule="exact"/>
              <w:rPr>
                <w:sz w:val="28"/>
                <w:szCs w:val="28"/>
              </w:rPr>
            </w:pPr>
            <w:r w:rsidRPr="00385A43">
              <w:rPr>
                <w:sz w:val="28"/>
                <w:szCs w:val="28"/>
              </w:rPr>
              <w:t>v.</w:t>
            </w:r>
          </w:p>
          <w:p w:rsidR="007940BA" w:rsidRPr="00385A43" w:rsidRDefault="007940BA" w:rsidP="007940BA">
            <w:pPr>
              <w:tabs>
                <w:tab w:val="left" w:pos="2160"/>
                <w:tab w:val="right" w:pos="4700"/>
              </w:tabs>
              <w:spacing w:line="240" w:lineRule="exact"/>
              <w:rPr>
                <w:sz w:val="28"/>
                <w:szCs w:val="28"/>
              </w:rPr>
            </w:pPr>
          </w:p>
          <w:p w:rsidR="00C3701C" w:rsidRPr="00385A43" w:rsidRDefault="008D528C" w:rsidP="007940BA">
            <w:pPr>
              <w:tabs>
                <w:tab w:val="left" w:pos="2160"/>
                <w:tab w:val="right" w:pos="4700"/>
              </w:tabs>
              <w:spacing w:line="240" w:lineRule="exact"/>
              <w:rPr>
                <w:sz w:val="28"/>
                <w:szCs w:val="28"/>
              </w:rPr>
            </w:pPr>
            <w:r>
              <w:rPr>
                <w:sz w:val="28"/>
                <w:szCs w:val="28"/>
              </w:rPr>
              <w:t xml:space="preserve">GAVIN NEWSON, in his official capacity as Governor of California, </w:t>
            </w:r>
            <w:r w:rsidRPr="008D528C">
              <w:rPr>
                <w:i/>
                <w:sz w:val="28"/>
                <w:szCs w:val="28"/>
              </w:rPr>
              <w:t>et al.</w:t>
            </w:r>
            <w:r>
              <w:rPr>
                <w:sz w:val="28"/>
                <w:szCs w:val="28"/>
              </w:rPr>
              <w:t xml:space="preserve">, </w:t>
            </w:r>
          </w:p>
          <w:p w:rsidR="00C3701C" w:rsidRPr="00385A43" w:rsidRDefault="00C3701C" w:rsidP="007940BA">
            <w:pPr>
              <w:tabs>
                <w:tab w:val="left" w:pos="2160"/>
                <w:tab w:val="right" w:pos="4700"/>
              </w:tabs>
              <w:spacing w:line="240" w:lineRule="exact"/>
              <w:rPr>
                <w:sz w:val="28"/>
                <w:szCs w:val="28"/>
              </w:rPr>
            </w:pPr>
          </w:p>
          <w:p w:rsidR="00C3701C" w:rsidRPr="00385A43" w:rsidRDefault="00C3701C" w:rsidP="007940BA">
            <w:pPr>
              <w:tabs>
                <w:tab w:val="left" w:pos="2160"/>
                <w:tab w:val="right" w:pos="4700"/>
              </w:tabs>
              <w:spacing w:line="240" w:lineRule="exact"/>
              <w:rPr>
                <w:sz w:val="28"/>
                <w:szCs w:val="28"/>
              </w:rPr>
            </w:pPr>
          </w:p>
          <w:p w:rsidR="007940BA" w:rsidRPr="00385A43" w:rsidRDefault="007940BA" w:rsidP="007940BA">
            <w:pPr>
              <w:tabs>
                <w:tab w:val="left" w:pos="2160"/>
                <w:tab w:val="right" w:pos="4700"/>
              </w:tabs>
              <w:spacing w:line="240" w:lineRule="exact"/>
              <w:rPr>
                <w:sz w:val="28"/>
                <w:szCs w:val="28"/>
              </w:rPr>
            </w:pPr>
            <w:r w:rsidRPr="00385A43">
              <w:rPr>
                <w:sz w:val="28"/>
                <w:szCs w:val="28"/>
              </w:rPr>
              <w:tab/>
              <w:t>Defendants.</w:t>
            </w:r>
          </w:p>
          <w:p w:rsidR="007940BA" w:rsidRPr="00385A43" w:rsidRDefault="007940BA" w:rsidP="007940BA">
            <w:pPr>
              <w:tabs>
                <w:tab w:val="left" w:pos="2160"/>
                <w:tab w:val="right" w:pos="4700"/>
              </w:tabs>
              <w:spacing w:line="240" w:lineRule="exact"/>
              <w:rPr>
                <w:sz w:val="28"/>
                <w:szCs w:val="28"/>
                <w:highlight w:val="yellow"/>
              </w:rPr>
            </w:pPr>
          </w:p>
          <w:p w:rsidR="00E34947" w:rsidRPr="00385A43" w:rsidRDefault="00E34947" w:rsidP="00D810E3">
            <w:pPr>
              <w:tabs>
                <w:tab w:val="left" w:pos="2160"/>
                <w:tab w:val="right" w:pos="4700"/>
              </w:tabs>
              <w:spacing w:line="240" w:lineRule="exact"/>
              <w:rPr>
                <w:sz w:val="28"/>
                <w:szCs w:val="28"/>
              </w:rPr>
            </w:pPr>
          </w:p>
        </w:tc>
        <w:tc>
          <w:tcPr>
            <w:tcW w:w="492" w:type="dxa"/>
          </w:tcPr>
          <w:p w:rsidR="00E34947" w:rsidRPr="00385A43" w:rsidRDefault="00E34947" w:rsidP="00D810E3">
            <w:pPr>
              <w:spacing w:line="240" w:lineRule="exact"/>
              <w:rPr>
                <w:sz w:val="28"/>
                <w:szCs w:val="28"/>
              </w:rPr>
            </w:pPr>
            <w:r w:rsidRPr="00385A43">
              <w:rPr>
                <w:sz w:val="28"/>
                <w:szCs w:val="28"/>
              </w:rPr>
              <w:t>)</w:t>
            </w:r>
          </w:p>
          <w:p w:rsidR="00E34947" w:rsidRPr="00385A43" w:rsidRDefault="00E34947" w:rsidP="00D810E3">
            <w:pPr>
              <w:spacing w:line="240" w:lineRule="exact"/>
              <w:rPr>
                <w:sz w:val="28"/>
                <w:szCs w:val="28"/>
              </w:rPr>
            </w:pPr>
            <w:r w:rsidRPr="00385A43">
              <w:rPr>
                <w:sz w:val="28"/>
                <w:szCs w:val="28"/>
              </w:rPr>
              <w:t>)</w:t>
            </w:r>
          </w:p>
          <w:p w:rsidR="00E34947" w:rsidRPr="00385A43" w:rsidRDefault="00E34947" w:rsidP="00D810E3">
            <w:pPr>
              <w:spacing w:line="240" w:lineRule="exact"/>
              <w:rPr>
                <w:sz w:val="28"/>
                <w:szCs w:val="28"/>
              </w:rPr>
            </w:pPr>
            <w:r w:rsidRPr="00385A43">
              <w:rPr>
                <w:sz w:val="28"/>
                <w:szCs w:val="28"/>
              </w:rPr>
              <w:t>)</w:t>
            </w:r>
          </w:p>
          <w:p w:rsidR="00E34947" w:rsidRPr="00385A43" w:rsidRDefault="00E34947" w:rsidP="00D810E3">
            <w:pPr>
              <w:spacing w:line="240" w:lineRule="exact"/>
              <w:rPr>
                <w:sz w:val="28"/>
                <w:szCs w:val="28"/>
              </w:rPr>
            </w:pPr>
            <w:r w:rsidRPr="00385A43">
              <w:rPr>
                <w:sz w:val="28"/>
                <w:szCs w:val="28"/>
              </w:rPr>
              <w:t>)</w:t>
            </w:r>
          </w:p>
          <w:p w:rsidR="00E34947" w:rsidRPr="00385A43" w:rsidRDefault="00E34947" w:rsidP="00D810E3">
            <w:pPr>
              <w:spacing w:line="240" w:lineRule="exact"/>
              <w:rPr>
                <w:sz w:val="28"/>
                <w:szCs w:val="28"/>
              </w:rPr>
            </w:pPr>
            <w:r w:rsidRPr="00385A43">
              <w:rPr>
                <w:sz w:val="28"/>
                <w:szCs w:val="28"/>
              </w:rPr>
              <w:t>)</w:t>
            </w:r>
          </w:p>
          <w:p w:rsidR="00E34947" w:rsidRPr="00385A43" w:rsidRDefault="00E34947" w:rsidP="00D810E3">
            <w:pPr>
              <w:spacing w:line="240" w:lineRule="exact"/>
              <w:rPr>
                <w:sz w:val="28"/>
                <w:szCs w:val="28"/>
              </w:rPr>
            </w:pPr>
            <w:r w:rsidRPr="00385A43">
              <w:rPr>
                <w:sz w:val="28"/>
                <w:szCs w:val="28"/>
              </w:rPr>
              <w:t>)</w:t>
            </w:r>
          </w:p>
          <w:p w:rsidR="00E34947" w:rsidRPr="00385A43" w:rsidRDefault="00E34947" w:rsidP="00D810E3">
            <w:pPr>
              <w:spacing w:line="240" w:lineRule="exact"/>
              <w:rPr>
                <w:sz w:val="28"/>
                <w:szCs w:val="28"/>
              </w:rPr>
            </w:pPr>
            <w:r w:rsidRPr="00385A43">
              <w:rPr>
                <w:sz w:val="28"/>
                <w:szCs w:val="28"/>
              </w:rPr>
              <w:t>)</w:t>
            </w:r>
          </w:p>
          <w:p w:rsidR="00E34947" w:rsidRPr="00385A43" w:rsidRDefault="00E34947" w:rsidP="00D810E3">
            <w:pPr>
              <w:spacing w:line="240" w:lineRule="exact"/>
              <w:rPr>
                <w:sz w:val="28"/>
                <w:szCs w:val="28"/>
              </w:rPr>
            </w:pPr>
            <w:r w:rsidRPr="00385A43">
              <w:rPr>
                <w:sz w:val="28"/>
                <w:szCs w:val="28"/>
              </w:rPr>
              <w:t>)</w:t>
            </w:r>
          </w:p>
          <w:p w:rsidR="00E34947" w:rsidRPr="00385A43" w:rsidRDefault="00E34947" w:rsidP="00D810E3">
            <w:pPr>
              <w:spacing w:line="240" w:lineRule="exact"/>
              <w:rPr>
                <w:sz w:val="28"/>
                <w:szCs w:val="28"/>
              </w:rPr>
            </w:pPr>
            <w:r w:rsidRPr="00385A43">
              <w:rPr>
                <w:sz w:val="28"/>
                <w:szCs w:val="28"/>
              </w:rPr>
              <w:t>)</w:t>
            </w:r>
          </w:p>
          <w:p w:rsidR="007940BA" w:rsidRPr="00385A43" w:rsidRDefault="007940BA" w:rsidP="00D810E3">
            <w:pPr>
              <w:spacing w:line="240" w:lineRule="exact"/>
              <w:rPr>
                <w:sz w:val="28"/>
                <w:szCs w:val="28"/>
              </w:rPr>
            </w:pPr>
            <w:r w:rsidRPr="00385A43">
              <w:rPr>
                <w:sz w:val="28"/>
                <w:szCs w:val="28"/>
              </w:rPr>
              <w:t>)</w:t>
            </w:r>
          </w:p>
          <w:p w:rsidR="007940BA" w:rsidRPr="00385A43" w:rsidRDefault="007940BA" w:rsidP="00D810E3">
            <w:pPr>
              <w:spacing w:line="240" w:lineRule="exact"/>
              <w:rPr>
                <w:sz w:val="28"/>
                <w:szCs w:val="28"/>
              </w:rPr>
            </w:pPr>
            <w:r w:rsidRPr="00385A43">
              <w:rPr>
                <w:sz w:val="28"/>
                <w:szCs w:val="28"/>
              </w:rPr>
              <w:t>)</w:t>
            </w:r>
          </w:p>
          <w:p w:rsidR="007940BA" w:rsidRPr="00385A43" w:rsidRDefault="007940BA" w:rsidP="00D810E3">
            <w:pPr>
              <w:spacing w:line="240" w:lineRule="exact"/>
              <w:rPr>
                <w:sz w:val="28"/>
                <w:szCs w:val="28"/>
              </w:rPr>
            </w:pPr>
            <w:r w:rsidRPr="00385A43">
              <w:rPr>
                <w:sz w:val="28"/>
                <w:szCs w:val="28"/>
              </w:rPr>
              <w:t>)</w:t>
            </w:r>
          </w:p>
          <w:p w:rsidR="001F596F" w:rsidRDefault="007940BA" w:rsidP="00D810E3">
            <w:pPr>
              <w:spacing w:line="240" w:lineRule="exact"/>
              <w:rPr>
                <w:sz w:val="28"/>
                <w:szCs w:val="28"/>
              </w:rPr>
            </w:pPr>
            <w:r w:rsidRPr="00385A43">
              <w:rPr>
                <w:sz w:val="28"/>
                <w:szCs w:val="28"/>
              </w:rPr>
              <w:t>)</w:t>
            </w:r>
          </w:p>
          <w:p w:rsidR="001F596F" w:rsidRDefault="001F596F" w:rsidP="00D810E3">
            <w:pPr>
              <w:spacing w:line="240" w:lineRule="exact"/>
              <w:rPr>
                <w:sz w:val="28"/>
                <w:szCs w:val="28"/>
              </w:rPr>
            </w:pPr>
            <w:r w:rsidRPr="00385A43">
              <w:rPr>
                <w:sz w:val="28"/>
                <w:szCs w:val="28"/>
              </w:rPr>
              <w:t>)</w:t>
            </w:r>
          </w:p>
          <w:p w:rsidR="001F596F" w:rsidRDefault="001F596F" w:rsidP="00D810E3">
            <w:pPr>
              <w:spacing w:line="240" w:lineRule="exact"/>
              <w:rPr>
                <w:sz w:val="28"/>
                <w:szCs w:val="28"/>
              </w:rPr>
            </w:pPr>
            <w:r w:rsidRPr="00385A43">
              <w:rPr>
                <w:sz w:val="28"/>
                <w:szCs w:val="28"/>
              </w:rPr>
              <w:t>)</w:t>
            </w:r>
          </w:p>
          <w:p w:rsidR="001F596F" w:rsidRDefault="001F596F" w:rsidP="00D810E3">
            <w:pPr>
              <w:spacing w:line="240" w:lineRule="exact"/>
              <w:rPr>
                <w:sz w:val="28"/>
                <w:szCs w:val="28"/>
              </w:rPr>
            </w:pPr>
            <w:r w:rsidRPr="00385A43">
              <w:rPr>
                <w:sz w:val="28"/>
                <w:szCs w:val="28"/>
              </w:rPr>
              <w:t>)</w:t>
            </w:r>
          </w:p>
          <w:p w:rsidR="001F596F" w:rsidRDefault="001F596F" w:rsidP="00D810E3">
            <w:pPr>
              <w:spacing w:line="240" w:lineRule="exact"/>
              <w:rPr>
                <w:sz w:val="28"/>
                <w:szCs w:val="28"/>
              </w:rPr>
            </w:pPr>
            <w:r w:rsidRPr="00385A43">
              <w:rPr>
                <w:sz w:val="28"/>
                <w:szCs w:val="28"/>
              </w:rPr>
              <w:t>)</w:t>
            </w:r>
          </w:p>
          <w:p w:rsidR="001F596F" w:rsidRDefault="001F596F" w:rsidP="00D810E3">
            <w:pPr>
              <w:spacing w:line="240" w:lineRule="exact"/>
              <w:rPr>
                <w:sz w:val="28"/>
                <w:szCs w:val="28"/>
              </w:rPr>
            </w:pPr>
            <w:r w:rsidRPr="00385A43">
              <w:rPr>
                <w:sz w:val="28"/>
                <w:szCs w:val="28"/>
              </w:rPr>
              <w:t>)</w:t>
            </w:r>
          </w:p>
          <w:p w:rsidR="001F596F" w:rsidRDefault="001F596F" w:rsidP="00D810E3">
            <w:pPr>
              <w:spacing w:line="240" w:lineRule="exact"/>
              <w:rPr>
                <w:sz w:val="28"/>
                <w:szCs w:val="28"/>
              </w:rPr>
            </w:pPr>
            <w:r w:rsidRPr="00385A43">
              <w:rPr>
                <w:sz w:val="28"/>
                <w:szCs w:val="28"/>
              </w:rPr>
              <w:t>)</w:t>
            </w:r>
          </w:p>
          <w:p w:rsidR="001F596F" w:rsidRDefault="001F596F" w:rsidP="00D810E3">
            <w:pPr>
              <w:spacing w:line="240" w:lineRule="exact"/>
              <w:rPr>
                <w:sz w:val="28"/>
                <w:szCs w:val="28"/>
              </w:rPr>
            </w:pPr>
            <w:r w:rsidRPr="00385A43">
              <w:rPr>
                <w:sz w:val="28"/>
                <w:szCs w:val="28"/>
              </w:rPr>
              <w:t>)</w:t>
            </w:r>
          </w:p>
          <w:p w:rsidR="0018242D" w:rsidRDefault="001F596F" w:rsidP="00D810E3">
            <w:pPr>
              <w:spacing w:line="240" w:lineRule="exact"/>
              <w:rPr>
                <w:sz w:val="28"/>
                <w:szCs w:val="28"/>
              </w:rPr>
            </w:pPr>
            <w:r w:rsidRPr="00385A43">
              <w:rPr>
                <w:sz w:val="28"/>
                <w:szCs w:val="28"/>
              </w:rPr>
              <w:t>)</w:t>
            </w:r>
            <w:r w:rsidR="007940BA" w:rsidRPr="00385A43">
              <w:rPr>
                <w:sz w:val="28"/>
                <w:szCs w:val="28"/>
              </w:rPr>
              <w:br/>
              <w:t>)</w:t>
            </w:r>
          </w:p>
          <w:p w:rsidR="0018242D" w:rsidRPr="00385A43" w:rsidRDefault="0018242D" w:rsidP="00D810E3">
            <w:pPr>
              <w:spacing w:line="240" w:lineRule="exact"/>
              <w:rPr>
                <w:sz w:val="28"/>
                <w:szCs w:val="28"/>
              </w:rPr>
            </w:pPr>
            <w:r w:rsidRPr="00385A43">
              <w:rPr>
                <w:sz w:val="28"/>
                <w:szCs w:val="28"/>
              </w:rPr>
              <w:t>)</w:t>
            </w:r>
          </w:p>
        </w:tc>
        <w:tc>
          <w:tcPr>
            <w:tcW w:w="5032" w:type="dxa"/>
            <w:vMerge w:val="restart"/>
          </w:tcPr>
          <w:p w:rsidR="00E34947" w:rsidRPr="00385A43" w:rsidRDefault="00E34947" w:rsidP="00D810E3">
            <w:pPr>
              <w:spacing w:line="240" w:lineRule="exact"/>
              <w:rPr>
                <w:sz w:val="28"/>
                <w:szCs w:val="28"/>
              </w:rPr>
            </w:pPr>
            <w:r w:rsidRPr="00385A43">
              <w:rPr>
                <w:sz w:val="28"/>
                <w:szCs w:val="28"/>
              </w:rPr>
              <w:t xml:space="preserve">Case No. </w:t>
            </w:r>
            <w:r w:rsidR="008D528C">
              <w:rPr>
                <w:sz w:val="28"/>
                <w:szCs w:val="28"/>
              </w:rPr>
              <w:t>5:20-cv-00755-JGB-KK</w:t>
            </w:r>
          </w:p>
          <w:p w:rsidR="00E34947" w:rsidRPr="00385A43" w:rsidRDefault="00E34947" w:rsidP="00D810E3">
            <w:pPr>
              <w:spacing w:line="240" w:lineRule="exact"/>
              <w:rPr>
                <w:sz w:val="28"/>
                <w:szCs w:val="28"/>
              </w:rPr>
            </w:pPr>
          </w:p>
          <w:p w:rsidR="00C3701C" w:rsidRDefault="00385A43" w:rsidP="00C3701C">
            <w:pPr>
              <w:spacing w:line="240" w:lineRule="exact"/>
              <w:rPr>
                <w:sz w:val="28"/>
                <w:szCs w:val="28"/>
              </w:rPr>
            </w:pPr>
            <w:r w:rsidRPr="00385A43">
              <w:rPr>
                <w:sz w:val="28"/>
                <w:szCs w:val="28"/>
              </w:rPr>
              <w:t>Judge</w:t>
            </w:r>
            <w:r w:rsidR="008D528C">
              <w:rPr>
                <w:sz w:val="28"/>
                <w:szCs w:val="28"/>
              </w:rPr>
              <w:t xml:space="preserve">  Hon. Jesus G. Bernal </w:t>
            </w:r>
          </w:p>
          <w:p w:rsidR="00B058DD" w:rsidRDefault="00B058DD" w:rsidP="00C3701C">
            <w:pPr>
              <w:spacing w:line="240" w:lineRule="exact"/>
              <w:rPr>
                <w:sz w:val="28"/>
                <w:szCs w:val="28"/>
              </w:rPr>
            </w:pPr>
            <w:r w:rsidRPr="00B058DD">
              <w:rPr>
                <w:sz w:val="28"/>
                <w:szCs w:val="28"/>
              </w:rPr>
              <w:t xml:space="preserve">Magistrate Judge Kenly </w:t>
            </w:r>
            <w:proofErr w:type="spellStart"/>
            <w:r w:rsidRPr="00B058DD">
              <w:rPr>
                <w:sz w:val="28"/>
                <w:szCs w:val="28"/>
              </w:rPr>
              <w:t>Kiya</w:t>
            </w:r>
            <w:proofErr w:type="spellEnd"/>
            <w:r w:rsidRPr="00B058DD">
              <w:rPr>
                <w:sz w:val="28"/>
                <w:szCs w:val="28"/>
              </w:rPr>
              <w:t xml:space="preserve"> Kato</w:t>
            </w:r>
          </w:p>
          <w:p w:rsidR="008D528C" w:rsidRDefault="008D528C" w:rsidP="00C3701C">
            <w:pPr>
              <w:spacing w:line="240" w:lineRule="exact"/>
              <w:rPr>
                <w:sz w:val="28"/>
                <w:szCs w:val="28"/>
              </w:rPr>
            </w:pPr>
          </w:p>
          <w:p w:rsidR="001F596F" w:rsidRPr="007178A7" w:rsidRDefault="001F596F" w:rsidP="001F596F">
            <w:pPr>
              <w:spacing w:line="240" w:lineRule="exact"/>
              <w:rPr>
                <w:b/>
                <w:sz w:val="28"/>
                <w:szCs w:val="28"/>
                <w:lang w:val="en-CA"/>
              </w:rPr>
            </w:pPr>
            <w:r>
              <w:rPr>
                <w:b/>
                <w:sz w:val="28"/>
                <w:szCs w:val="28"/>
                <w:lang w:val="en-CA"/>
              </w:rPr>
              <w:t xml:space="preserve">COUNTY OF RIVERSIDE, ET AL.’S, </w:t>
            </w:r>
            <w:r w:rsidRPr="007178A7">
              <w:rPr>
                <w:b/>
                <w:sz w:val="28"/>
                <w:szCs w:val="28"/>
                <w:lang w:val="en-CA"/>
              </w:rPr>
              <w:t>OPPOSITION TO PLAINTIFF</w:t>
            </w:r>
            <w:r>
              <w:rPr>
                <w:b/>
                <w:sz w:val="28"/>
                <w:szCs w:val="28"/>
                <w:lang w:val="en-CA"/>
              </w:rPr>
              <w:t>S’</w:t>
            </w:r>
            <w:r w:rsidRPr="007178A7">
              <w:rPr>
                <w:b/>
                <w:sz w:val="28"/>
                <w:szCs w:val="28"/>
                <w:lang w:val="en-CA"/>
              </w:rPr>
              <w:t xml:space="preserve"> </w:t>
            </w:r>
            <w:r w:rsidRPr="001F596F">
              <w:rPr>
                <w:b/>
                <w:sz w:val="28"/>
                <w:szCs w:val="28"/>
                <w:lang w:val="en-CA"/>
              </w:rPr>
              <w:t xml:space="preserve">APPLICATION </w:t>
            </w:r>
            <w:r w:rsidR="00D8256B">
              <w:rPr>
                <w:b/>
                <w:sz w:val="28"/>
                <w:szCs w:val="28"/>
                <w:lang w:val="en-CA"/>
              </w:rPr>
              <w:t>FOR TEMPORARY RESTRAINING ORDER (DOCKET NO. 8)</w:t>
            </w:r>
          </w:p>
          <w:p w:rsidR="001F596F" w:rsidRDefault="001F596F" w:rsidP="001F596F">
            <w:pPr>
              <w:spacing w:line="240" w:lineRule="exact"/>
              <w:rPr>
                <w:sz w:val="28"/>
                <w:szCs w:val="28"/>
                <w:lang w:val="en-CA"/>
              </w:rPr>
            </w:pPr>
          </w:p>
          <w:p w:rsidR="001F596F" w:rsidRPr="003A2103" w:rsidRDefault="001F596F" w:rsidP="001F596F">
            <w:pPr>
              <w:spacing w:line="240" w:lineRule="exact"/>
              <w:rPr>
                <w:i/>
                <w:sz w:val="28"/>
                <w:szCs w:val="28"/>
              </w:rPr>
            </w:pPr>
            <w:r>
              <w:rPr>
                <w:i/>
                <w:sz w:val="28"/>
                <w:szCs w:val="28"/>
              </w:rPr>
              <w:t xml:space="preserve">(Filed </w:t>
            </w:r>
            <w:r w:rsidRPr="003A2103">
              <w:rPr>
                <w:i/>
                <w:sz w:val="28"/>
                <w:szCs w:val="28"/>
              </w:rPr>
              <w:t xml:space="preserve">concurrently with: </w:t>
            </w:r>
          </w:p>
          <w:p w:rsidR="00FF037C" w:rsidRDefault="001F596F" w:rsidP="001F596F">
            <w:pPr>
              <w:spacing w:line="240" w:lineRule="exact"/>
              <w:rPr>
                <w:i/>
                <w:sz w:val="28"/>
                <w:szCs w:val="28"/>
              </w:rPr>
            </w:pPr>
            <w:r>
              <w:rPr>
                <w:i/>
                <w:sz w:val="28"/>
                <w:szCs w:val="28"/>
              </w:rPr>
              <w:t xml:space="preserve">Declaration of </w:t>
            </w:r>
            <w:r w:rsidR="0018242D">
              <w:rPr>
                <w:i/>
                <w:sz w:val="28"/>
                <w:szCs w:val="28"/>
              </w:rPr>
              <w:t>Kelly A. Moran</w:t>
            </w:r>
            <w:r w:rsidR="00FF037C">
              <w:rPr>
                <w:i/>
                <w:sz w:val="28"/>
                <w:szCs w:val="28"/>
              </w:rPr>
              <w:t xml:space="preserve">; </w:t>
            </w:r>
          </w:p>
          <w:p w:rsidR="00FF037C" w:rsidRDefault="00FF037C" w:rsidP="001F596F">
            <w:pPr>
              <w:spacing w:line="240" w:lineRule="exact"/>
              <w:rPr>
                <w:i/>
                <w:sz w:val="28"/>
                <w:szCs w:val="28"/>
              </w:rPr>
            </w:pPr>
            <w:r>
              <w:rPr>
                <w:i/>
                <w:sz w:val="28"/>
                <w:szCs w:val="28"/>
              </w:rPr>
              <w:t>Declaration of Jason Anderson;</w:t>
            </w:r>
          </w:p>
          <w:p w:rsidR="0018242D" w:rsidRDefault="0018242D" w:rsidP="001F596F">
            <w:pPr>
              <w:spacing w:line="240" w:lineRule="exact"/>
              <w:rPr>
                <w:i/>
                <w:sz w:val="28"/>
                <w:szCs w:val="28"/>
              </w:rPr>
            </w:pPr>
            <w:r>
              <w:rPr>
                <w:i/>
                <w:sz w:val="28"/>
                <w:szCs w:val="28"/>
              </w:rPr>
              <w:t>Declaration of Dr. Cameron Kaiser</w:t>
            </w:r>
            <w:r w:rsidR="00D00DB6">
              <w:rPr>
                <w:i/>
                <w:sz w:val="28"/>
                <w:szCs w:val="28"/>
              </w:rPr>
              <w:t xml:space="preserve">; </w:t>
            </w:r>
            <w:r>
              <w:rPr>
                <w:i/>
                <w:sz w:val="28"/>
                <w:szCs w:val="28"/>
              </w:rPr>
              <w:t>and</w:t>
            </w:r>
          </w:p>
          <w:p w:rsidR="001F596F" w:rsidRPr="003B32F6" w:rsidRDefault="00FF037C" w:rsidP="001F596F">
            <w:pPr>
              <w:spacing w:line="240" w:lineRule="exact"/>
              <w:rPr>
                <w:i/>
                <w:sz w:val="28"/>
                <w:szCs w:val="28"/>
              </w:rPr>
            </w:pPr>
            <w:r>
              <w:rPr>
                <w:i/>
                <w:sz w:val="28"/>
                <w:szCs w:val="28"/>
              </w:rPr>
              <w:t>Request for Judicial Notice</w:t>
            </w:r>
            <w:r w:rsidR="001F596F">
              <w:rPr>
                <w:i/>
                <w:sz w:val="28"/>
                <w:szCs w:val="28"/>
              </w:rPr>
              <w:t>)</w:t>
            </w:r>
          </w:p>
          <w:p w:rsidR="001F596F" w:rsidRDefault="001F596F" w:rsidP="001F596F">
            <w:pPr>
              <w:spacing w:line="240" w:lineRule="exact"/>
              <w:rPr>
                <w:b/>
                <w:sz w:val="28"/>
                <w:szCs w:val="28"/>
              </w:rPr>
            </w:pPr>
          </w:p>
          <w:p w:rsidR="001F596F" w:rsidRPr="00BE124A" w:rsidRDefault="001F596F" w:rsidP="001F596F">
            <w:pPr>
              <w:spacing w:line="240" w:lineRule="exact"/>
              <w:rPr>
                <w:sz w:val="28"/>
                <w:szCs w:val="28"/>
              </w:rPr>
            </w:pPr>
            <w:r>
              <w:rPr>
                <w:b/>
                <w:sz w:val="28"/>
                <w:szCs w:val="28"/>
              </w:rPr>
              <w:t xml:space="preserve">DATE:  </w:t>
            </w:r>
            <w:r w:rsidRPr="00166480">
              <w:rPr>
                <w:sz w:val="28"/>
                <w:szCs w:val="28"/>
              </w:rPr>
              <w:t>TBD</w:t>
            </w:r>
          </w:p>
          <w:p w:rsidR="001F596F" w:rsidRDefault="001F596F" w:rsidP="001F596F">
            <w:pPr>
              <w:spacing w:line="240" w:lineRule="exact"/>
              <w:rPr>
                <w:sz w:val="28"/>
                <w:szCs w:val="28"/>
              </w:rPr>
            </w:pPr>
            <w:r>
              <w:rPr>
                <w:b/>
                <w:sz w:val="28"/>
                <w:szCs w:val="28"/>
              </w:rPr>
              <w:t xml:space="preserve">TIME:   </w:t>
            </w:r>
            <w:r w:rsidRPr="00166480">
              <w:rPr>
                <w:sz w:val="28"/>
                <w:szCs w:val="28"/>
              </w:rPr>
              <w:t>TBD</w:t>
            </w:r>
          </w:p>
          <w:p w:rsidR="001F596F" w:rsidRDefault="001F596F" w:rsidP="001F596F">
            <w:pPr>
              <w:spacing w:line="240" w:lineRule="exact"/>
              <w:rPr>
                <w:sz w:val="28"/>
                <w:szCs w:val="28"/>
              </w:rPr>
            </w:pPr>
            <w:r>
              <w:rPr>
                <w:b/>
                <w:sz w:val="28"/>
                <w:szCs w:val="28"/>
              </w:rPr>
              <w:t>COURTROOM:</w:t>
            </w:r>
            <w:r>
              <w:rPr>
                <w:sz w:val="28"/>
                <w:szCs w:val="28"/>
              </w:rPr>
              <w:t xml:space="preserve">  1</w:t>
            </w:r>
          </w:p>
          <w:p w:rsidR="00385A43" w:rsidRPr="00385A43" w:rsidRDefault="001F596F" w:rsidP="001F596F">
            <w:pPr>
              <w:spacing w:line="240" w:lineRule="exact"/>
              <w:rPr>
                <w:sz w:val="28"/>
                <w:szCs w:val="28"/>
              </w:rPr>
            </w:pPr>
            <w:r>
              <w:rPr>
                <w:b/>
                <w:sz w:val="28"/>
                <w:szCs w:val="28"/>
              </w:rPr>
              <w:t xml:space="preserve">LOCATION:  </w:t>
            </w:r>
            <w:r w:rsidRPr="001F596F">
              <w:rPr>
                <w:sz w:val="28"/>
                <w:szCs w:val="28"/>
              </w:rPr>
              <w:t>3470 Twelfth Street Riverside, CA 92501-3801</w:t>
            </w:r>
          </w:p>
          <w:p w:rsidR="00E34947" w:rsidRPr="00385A43" w:rsidRDefault="00E34947" w:rsidP="00D810E3">
            <w:pPr>
              <w:spacing w:line="240" w:lineRule="exact"/>
              <w:rPr>
                <w:sz w:val="28"/>
                <w:szCs w:val="28"/>
              </w:rPr>
            </w:pPr>
          </w:p>
          <w:p w:rsidR="00E34947" w:rsidRPr="00385A43" w:rsidRDefault="00030E04" w:rsidP="00C3701C">
            <w:pPr>
              <w:tabs>
                <w:tab w:val="left" w:pos="1092"/>
              </w:tabs>
              <w:spacing w:line="240" w:lineRule="exact"/>
              <w:rPr>
                <w:sz w:val="28"/>
                <w:szCs w:val="28"/>
              </w:rPr>
            </w:pPr>
            <w:r w:rsidRPr="00385A43">
              <w:rPr>
                <w:sz w:val="28"/>
                <w:szCs w:val="28"/>
              </w:rPr>
              <w:t xml:space="preserve">Complaint Filed: </w:t>
            </w:r>
            <w:r w:rsidR="008D528C">
              <w:rPr>
                <w:sz w:val="28"/>
                <w:szCs w:val="28"/>
              </w:rPr>
              <w:t>April 14, 2020</w:t>
            </w:r>
          </w:p>
        </w:tc>
      </w:tr>
      <w:tr w:rsidR="00E34947" w:rsidRPr="00385A43" w:rsidTr="007A0D7F">
        <w:trPr>
          <w:trHeight w:val="251"/>
        </w:trPr>
        <w:tc>
          <w:tcPr>
            <w:tcW w:w="5408" w:type="dxa"/>
            <w:gridSpan w:val="2"/>
          </w:tcPr>
          <w:p w:rsidR="00D810E3" w:rsidRPr="00385A43" w:rsidRDefault="00D810E3" w:rsidP="00D810E3">
            <w:pPr>
              <w:tabs>
                <w:tab w:val="left" w:pos="2160"/>
                <w:tab w:val="right" w:pos="5000"/>
              </w:tabs>
              <w:spacing w:line="240" w:lineRule="exact"/>
              <w:rPr>
                <w:sz w:val="28"/>
                <w:szCs w:val="28"/>
              </w:rPr>
            </w:pPr>
            <w:r w:rsidRPr="00385A43">
              <w:rPr>
                <w:sz w:val="28"/>
                <w:szCs w:val="28"/>
                <w:u w:val="single"/>
              </w:rPr>
              <w:t>                                                                      </w:t>
            </w:r>
            <w:r w:rsidR="00E34947" w:rsidRPr="00385A43">
              <w:rPr>
                <w:sz w:val="28"/>
                <w:szCs w:val="28"/>
              </w:rPr>
              <w:t>)</w:t>
            </w:r>
          </w:p>
        </w:tc>
        <w:tc>
          <w:tcPr>
            <w:tcW w:w="5032" w:type="dxa"/>
            <w:vMerge/>
          </w:tcPr>
          <w:p w:rsidR="00E34947" w:rsidRPr="00385A43" w:rsidRDefault="00E34947" w:rsidP="00D810E3">
            <w:pPr>
              <w:spacing w:line="240" w:lineRule="exact"/>
              <w:rPr>
                <w:sz w:val="28"/>
                <w:szCs w:val="28"/>
              </w:rPr>
            </w:pPr>
          </w:p>
        </w:tc>
      </w:tr>
    </w:tbl>
    <w:p w:rsidR="002F60FA" w:rsidRPr="00385A43" w:rsidRDefault="002F60FA" w:rsidP="00E34947">
      <w:pPr>
        <w:spacing w:line="240" w:lineRule="exact"/>
        <w:rPr>
          <w:sz w:val="28"/>
          <w:szCs w:val="28"/>
        </w:rPr>
      </w:pPr>
    </w:p>
    <w:p w:rsidR="00401DC0" w:rsidRDefault="00401DC0" w:rsidP="0018242D">
      <w:pPr>
        <w:spacing w:line="480" w:lineRule="auto"/>
        <w:rPr>
          <w:rFonts w:eastAsia="Calibri"/>
          <w:b/>
          <w:sz w:val="28"/>
          <w:szCs w:val="28"/>
        </w:rPr>
      </w:pPr>
    </w:p>
    <w:p w:rsidR="00D8256B" w:rsidRPr="0018242D" w:rsidRDefault="005165F2" w:rsidP="0018242D">
      <w:pPr>
        <w:spacing w:line="480" w:lineRule="auto"/>
        <w:rPr>
          <w:rFonts w:eastAsia="Calibri"/>
          <w:b/>
          <w:sz w:val="28"/>
          <w:szCs w:val="28"/>
        </w:rPr>
      </w:pPr>
      <w:r w:rsidRPr="0018242D">
        <w:rPr>
          <w:rFonts w:eastAsia="Calibri"/>
          <w:b/>
          <w:sz w:val="28"/>
          <w:szCs w:val="28"/>
        </w:rPr>
        <w:lastRenderedPageBreak/>
        <w:t>T</w:t>
      </w:r>
      <w:r w:rsidR="00D8256B" w:rsidRPr="0018242D">
        <w:rPr>
          <w:rFonts w:eastAsia="Calibri"/>
          <w:b/>
          <w:sz w:val="28"/>
          <w:szCs w:val="28"/>
        </w:rPr>
        <w:t xml:space="preserve">O THE PLAINTIFFS AND THEIR COUNSEL OF RECORD: </w:t>
      </w:r>
    </w:p>
    <w:p w:rsidR="00D8256B" w:rsidRPr="0018242D" w:rsidRDefault="00D8256B" w:rsidP="0018242D">
      <w:pPr>
        <w:spacing w:line="480" w:lineRule="auto"/>
        <w:jc w:val="both"/>
        <w:rPr>
          <w:rFonts w:eastAsia="Calibri"/>
          <w:sz w:val="28"/>
          <w:szCs w:val="28"/>
        </w:rPr>
      </w:pPr>
      <w:r w:rsidRPr="0018242D">
        <w:rPr>
          <w:rFonts w:eastAsia="Calibri"/>
          <w:sz w:val="28"/>
          <w:szCs w:val="28"/>
        </w:rPr>
        <w:tab/>
        <w:t>DEFENDANTS, CAMERON KAISER, in his official capacity as the Riverside County Public Health Officer; GEORGE JOHNSON, in his official capacity as Riverside County Executive Officer and Director of Emergency Services; CHAD BIANCO, in his official capacity as the Riverside County Sheriff; KEVIN JEFFRIES, in his official capacity as a Riverside County Supervisor; KAREN SPIEGEL, in her official capacity as a Riverside County Supervisor; CHUCH WASHINGTON, in his official capacity as a Riverside County Supervisor; V. MANUEL PEREZ, in his official capacity as a Riverside County Supervisor; and JEFF HEWITT, in his official capacity as a Riverside County Supervisor (hereinafter collectively the “County”) hereby offer the following Opposition to</w:t>
      </w:r>
      <w:r w:rsidR="005165F2" w:rsidRPr="0018242D">
        <w:rPr>
          <w:rFonts w:eastAsia="Calibri"/>
          <w:sz w:val="28"/>
          <w:szCs w:val="28"/>
        </w:rPr>
        <w:t xml:space="preserve"> </w:t>
      </w:r>
      <w:r w:rsidRPr="0018242D">
        <w:rPr>
          <w:rFonts w:eastAsia="Calibri"/>
          <w:sz w:val="28"/>
          <w:szCs w:val="28"/>
        </w:rPr>
        <w:t xml:space="preserve">the Application for Temporary Restraining Order (Docket No. 8). </w:t>
      </w:r>
      <w:r w:rsidR="00BF7B26" w:rsidRPr="0018242D">
        <w:rPr>
          <w:rFonts w:eastAsia="Calibri"/>
          <w:sz w:val="28"/>
          <w:szCs w:val="28"/>
        </w:rPr>
        <w:t xml:space="preserve"> </w:t>
      </w:r>
    </w:p>
    <w:p w:rsidR="00D8256B" w:rsidRPr="0018242D" w:rsidRDefault="00D8256B" w:rsidP="0018242D">
      <w:pPr>
        <w:spacing w:line="480" w:lineRule="auto"/>
        <w:jc w:val="center"/>
        <w:rPr>
          <w:rFonts w:eastAsia="Calibri"/>
          <w:b/>
          <w:sz w:val="28"/>
          <w:szCs w:val="28"/>
        </w:rPr>
      </w:pPr>
      <w:r w:rsidRPr="0018242D">
        <w:rPr>
          <w:rFonts w:eastAsia="Calibri"/>
          <w:b/>
          <w:sz w:val="28"/>
          <w:szCs w:val="28"/>
        </w:rPr>
        <w:t>I.</w:t>
      </w:r>
    </w:p>
    <w:p w:rsidR="000F27E8" w:rsidRPr="0018242D" w:rsidRDefault="000F27E8" w:rsidP="0018242D">
      <w:pPr>
        <w:spacing w:line="480" w:lineRule="auto"/>
        <w:jc w:val="center"/>
        <w:rPr>
          <w:rFonts w:eastAsia="Calibri"/>
          <w:b/>
          <w:sz w:val="28"/>
          <w:szCs w:val="28"/>
        </w:rPr>
      </w:pPr>
      <w:r w:rsidRPr="0018242D">
        <w:rPr>
          <w:rFonts w:eastAsia="Calibri"/>
          <w:b/>
          <w:sz w:val="28"/>
          <w:szCs w:val="28"/>
        </w:rPr>
        <w:t>INTRODUCTION</w:t>
      </w:r>
    </w:p>
    <w:p w:rsidR="000F27E8" w:rsidRPr="0018242D" w:rsidRDefault="000F27E8" w:rsidP="0018242D">
      <w:pPr>
        <w:spacing w:line="480" w:lineRule="auto"/>
        <w:ind w:firstLine="720"/>
        <w:jc w:val="both"/>
        <w:rPr>
          <w:rFonts w:eastAsia="Calibri"/>
          <w:sz w:val="28"/>
          <w:szCs w:val="28"/>
        </w:rPr>
      </w:pPr>
      <w:r w:rsidRPr="0018242D">
        <w:rPr>
          <w:rFonts w:eastAsia="Calibri"/>
          <w:sz w:val="28"/>
          <w:szCs w:val="28"/>
        </w:rPr>
        <w:t xml:space="preserve">Asymptomatic human-to-human transmission of COVID-19 is devastating the world.  From a silent and deadly spread at a Kings County nursing home in Washington to a “super-spread” event at the </w:t>
      </w:r>
      <w:proofErr w:type="spellStart"/>
      <w:r w:rsidRPr="0018242D">
        <w:rPr>
          <w:rFonts w:eastAsia="Calibri"/>
          <w:sz w:val="28"/>
          <w:szCs w:val="28"/>
        </w:rPr>
        <w:t>Tablighi</w:t>
      </w:r>
      <w:proofErr w:type="spellEnd"/>
      <w:r w:rsidRPr="0018242D">
        <w:rPr>
          <w:rFonts w:eastAsia="Calibri"/>
          <w:sz w:val="28"/>
          <w:szCs w:val="28"/>
        </w:rPr>
        <w:t xml:space="preserve"> </w:t>
      </w:r>
      <w:proofErr w:type="spellStart"/>
      <w:r w:rsidRPr="0018242D">
        <w:rPr>
          <w:rFonts w:eastAsia="Calibri"/>
          <w:sz w:val="28"/>
          <w:szCs w:val="28"/>
        </w:rPr>
        <w:t>Jamaat</w:t>
      </w:r>
      <w:proofErr w:type="spellEnd"/>
      <w:r w:rsidRPr="0018242D">
        <w:rPr>
          <w:rFonts w:eastAsia="Calibri"/>
          <w:sz w:val="28"/>
          <w:szCs w:val="28"/>
        </w:rPr>
        <w:t xml:space="preserve"> in India to the spike in Daegu, South Korea, the ruthless efficiency of human-to-human transmission continues with blatant disregard to borders, race, gender, color or faith. Driven by individuals who are pre-symptomatic or asymptomatic, the State of California (“State”) and the County have issued numerous public health orders in an effort to stem the spread of the virus and to slow the growth rate of the infected and hospitalized. The singular purpose: to “flatten the curve” to avoid the collapse </w:t>
      </w:r>
      <w:r w:rsidRPr="0018242D">
        <w:rPr>
          <w:rFonts w:eastAsia="Calibri"/>
          <w:sz w:val="28"/>
          <w:szCs w:val="28"/>
        </w:rPr>
        <w:lastRenderedPageBreak/>
        <w:t>of our hospitals, medical professionals and healthcare institutions throughout California. Despite numerous examples of “super-spread” events, even at religious gatherings that observe social distancing and safety processes, COVID-19 continues to spread. Now, Plaintiffs demand that this Court ignore the clear and present danger of this pandemic and allow in-person religious services to continue. For the following reasons, Plaintiffs’ ex parte application for a temporary restraining order (“TRO”) should be denied.</w:t>
      </w:r>
    </w:p>
    <w:p w:rsidR="000F27E8" w:rsidRPr="0018242D" w:rsidRDefault="000F27E8" w:rsidP="0018242D">
      <w:pPr>
        <w:spacing w:line="480" w:lineRule="auto"/>
        <w:jc w:val="center"/>
        <w:rPr>
          <w:rFonts w:eastAsia="Calibri"/>
          <w:b/>
          <w:sz w:val="28"/>
          <w:szCs w:val="28"/>
        </w:rPr>
      </w:pPr>
      <w:r w:rsidRPr="0018242D">
        <w:rPr>
          <w:rFonts w:eastAsia="Calibri"/>
          <w:b/>
          <w:sz w:val="28"/>
          <w:szCs w:val="28"/>
        </w:rPr>
        <w:t>II.</w:t>
      </w:r>
    </w:p>
    <w:p w:rsidR="00D8256B" w:rsidRPr="0018242D" w:rsidRDefault="00D8256B" w:rsidP="0018242D">
      <w:pPr>
        <w:spacing w:line="480" w:lineRule="auto"/>
        <w:jc w:val="center"/>
        <w:rPr>
          <w:rFonts w:eastAsia="Calibri"/>
          <w:b/>
          <w:sz w:val="28"/>
          <w:szCs w:val="28"/>
        </w:rPr>
      </w:pPr>
      <w:r w:rsidRPr="0018242D">
        <w:rPr>
          <w:rFonts w:eastAsia="Calibri"/>
          <w:b/>
          <w:sz w:val="28"/>
          <w:szCs w:val="28"/>
        </w:rPr>
        <w:t>BACKGROUND AND FACTS</w:t>
      </w:r>
    </w:p>
    <w:p w:rsidR="00D8256B" w:rsidRPr="0018242D" w:rsidRDefault="00D8256B" w:rsidP="0018242D">
      <w:pPr>
        <w:spacing w:line="480" w:lineRule="auto"/>
        <w:ind w:firstLine="720"/>
        <w:jc w:val="both"/>
        <w:rPr>
          <w:rFonts w:eastAsia="Calibri"/>
          <w:sz w:val="28"/>
          <w:szCs w:val="28"/>
        </w:rPr>
      </w:pPr>
      <w:r w:rsidRPr="0018242D">
        <w:rPr>
          <w:rFonts w:eastAsia="Calibri"/>
          <w:sz w:val="28"/>
          <w:szCs w:val="28"/>
        </w:rPr>
        <w:t xml:space="preserve">These are unprecedented times.  To date, the worldwide pandemic of COVID-19 disease, also known as “novel coronavirus,” has infected over </w:t>
      </w:r>
      <w:r w:rsidR="0018242D">
        <w:rPr>
          <w:rFonts w:eastAsia="Calibri"/>
          <w:sz w:val="28"/>
          <w:szCs w:val="28"/>
        </w:rPr>
        <w:t>2.1</w:t>
      </w:r>
      <w:r w:rsidRPr="0018242D">
        <w:rPr>
          <w:rFonts w:eastAsia="Calibri"/>
          <w:sz w:val="28"/>
          <w:szCs w:val="28"/>
        </w:rPr>
        <w:t xml:space="preserve"> million individuals worldwide in over 180 countries and is implicated in </w:t>
      </w:r>
      <w:r w:rsidR="0018242D">
        <w:rPr>
          <w:rFonts w:eastAsia="Calibri"/>
          <w:sz w:val="28"/>
          <w:szCs w:val="28"/>
        </w:rPr>
        <w:t>nearly 140,000</w:t>
      </w:r>
      <w:r w:rsidRPr="0018242D">
        <w:rPr>
          <w:rFonts w:eastAsia="Calibri"/>
          <w:sz w:val="28"/>
          <w:szCs w:val="28"/>
        </w:rPr>
        <w:t xml:space="preserve"> worldwide deaths, including over </w:t>
      </w:r>
      <w:r w:rsidR="002101C6" w:rsidRPr="0018242D">
        <w:rPr>
          <w:rFonts w:eastAsia="Calibri"/>
          <w:sz w:val="28"/>
          <w:szCs w:val="28"/>
        </w:rPr>
        <w:t>2,000 cases and 54</w:t>
      </w:r>
      <w:r w:rsidRPr="0018242D">
        <w:rPr>
          <w:rFonts w:eastAsia="Calibri"/>
          <w:sz w:val="28"/>
          <w:szCs w:val="28"/>
        </w:rPr>
        <w:t xml:space="preserve"> deaths in Riverside County.  In response to this healthcare crisis, the County, and the elected officials and employees therein, have been working around the clock to determine how to best meet the needs of all residents.  From the youngest to the oldest, the inmate to the un-incarcerated, and the unsheltered to those residing in mansions, the County is focused on protecting the health and safety of the more than 2.4 million people within its boundaries. </w:t>
      </w:r>
    </w:p>
    <w:p w:rsidR="002101C6" w:rsidRPr="00ED6BD8" w:rsidRDefault="00533F17" w:rsidP="0018242D">
      <w:pPr>
        <w:spacing w:line="480" w:lineRule="auto"/>
        <w:ind w:firstLine="720"/>
        <w:jc w:val="both"/>
        <w:rPr>
          <w:rFonts w:eastAsia="Calibri"/>
          <w:sz w:val="28"/>
          <w:szCs w:val="28"/>
        </w:rPr>
      </w:pPr>
      <w:r w:rsidRPr="0018242D">
        <w:rPr>
          <w:sz w:val="28"/>
          <w:szCs w:val="28"/>
        </w:rPr>
        <w:t xml:space="preserve">Over the past six weeks, the </w:t>
      </w:r>
      <w:r w:rsidRPr="0018242D">
        <w:rPr>
          <w:rFonts w:eastAsia="Calibri"/>
          <w:sz w:val="28"/>
          <w:szCs w:val="28"/>
        </w:rPr>
        <w:t xml:space="preserve">County has taken several steps in an attempt to control the spread of COVID-19. The actions taken by the County have addressed and affected a wide-variety of industries and events, all with the common goal of reducing the spread of COVID-19 and minimizing the strain upon the healthcare system.  </w:t>
      </w:r>
      <w:r w:rsidR="002101C6" w:rsidRPr="0018242D">
        <w:rPr>
          <w:rFonts w:eastAsia="Calibri"/>
          <w:sz w:val="28"/>
          <w:szCs w:val="28"/>
        </w:rPr>
        <w:t xml:space="preserve">On March 8, 2020 the </w:t>
      </w:r>
      <w:r w:rsidR="002101C6" w:rsidRPr="0018242D">
        <w:rPr>
          <w:rFonts w:eastAsia="Calibri"/>
          <w:sz w:val="28"/>
          <w:szCs w:val="28"/>
        </w:rPr>
        <w:lastRenderedPageBreak/>
        <w:t xml:space="preserve">County’s Public Health Officer, Dr. Cameron Kaiser, issued a Declaration of Local Health Emergency based on an imminent and proximate threat to public health from the introduction of novel COVID-19 in Riverside County.  On March 10, 2020 the Board of Supervisors of the County of Riverside issued a Resolution proclaiming the existence of a Local Emergency in the County of Riverside regarding COVID-19 and a Resolution ratifying and extending the Declaration of Local Health Emergency due to COVID-19.  Also on March 10, 2020, Dr. Kaiser issued an Order cancelling the Coachella Valley Music and Arts Festival and Stagecoach Music Festival.  On March 12, 2020, Dr. Kaiser issued an Order cancelling all events with an anticipated attendance in excess of 250 persons.  On March 13, 2020, Dr. Kaiser issued an Order closing all schools (extended through June 19, 2020 by subsequent Orders of the Health Officer).  On March 16, 2020 Dr. Kaiser issued an Order prohibiting all gatherings with expected presence above ten (10) individuals. On March 27, 2020, Dr. Kaiser issued an Order restricting short-term lodgings within the County of Riverside.  On April 2, 2020, the Health Officer and the County Executive Officer as the Director of Emergency Services issued an Order closing all golf courses and ancillary use areas.  On April 4, 2020, </w:t>
      </w:r>
      <w:r w:rsidR="005E7F77" w:rsidRPr="0018242D">
        <w:rPr>
          <w:sz w:val="28"/>
          <w:szCs w:val="28"/>
        </w:rPr>
        <w:t xml:space="preserve">later amended on April 6, 2020, </w:t>
      </w:r>
      <w:r w:rsidR="002101C6" w:rsidRPr="0018242D">
        <w:rPr>
          <w:rFonts w:eastAsia="Calibri"/>
          <w:sz w:val="28"/>
          <w:szCs w:val="28"/>
        </w:rPr>
        <w:t xml:space="preserve">the Health Officer and the County Executive Officer as the Director of Emergency Services issued an Order prohibiting all public gatherings and requiring the use of face coverings by all persons.  </w:t>
      </w:r>
      <w:r w:rsidR="002101C6" w:rsidRPr="0018242D">
        <w:rPr>
          <w:rFonts w:eastAsia="Calibri"/>
          <w:i/>
          <w:sz w:val="28"/>
          <w:szCs w:val="28"/>
        </w:rPr>
        <w:t>See</w:t>
      </w:r>
      <w:r w:rsidR="002101C6" w:rsidRPr="0018242D">
        <w:rPr>
          <w:rFonts w:eastAsia="Calibri"/>
          <w:sz w:val="28"/>
          <w:szCs w:val="28"/>
        </w:rPr>
        <w:t xml:space="preserve"> Declaration of </w:t>
      </w:r>
      <w:r w:rsidR="00A67C1A" w:rsidRPr="00ED6BD8">
        <w:rPr>
          <w:rFonts w:eastAsia="Calibri"/>
          <w:sz w:val="28"/>
          <w:szCs w:val="28"/>
        </w:rPr>
        <w:t>Dr. Cameron Kaiser, M.D., M.P.H.</w:t>
      </w:r>
      <w:r w:rsidR="00B57C85" w:rsidRPr="00ED6BD8">
        <w:rPr>
          <w:rFonts w:eastAsia="Calibri"/>
          <w:sz w:val="28"/>
          <w:szCs w:val="28"/>
        </w:rPr>
        <w:t xml:space="preserve"> (hereinafter the “</w:t>
      </w:r>
      <w:r w:rsidR="00A67C1A" w:rsidRPr="00ED6BD8">
        <w:rPr>
          <w:rFonts w:eastAsia="Calibri"/>
          <w:sz w:val="28"/>
          <w:szCs w:val="28"/>
        </w:rPr>
        <w:t>Kaiser</w:t>
      </w:r>
      <w:r w:rsidR="00B57C85" w:rsidRPr="00ED6BD8">
        <w:rPr>
          <w:rFonts w:eastAsia="Calibri"/>
          <w:sz w:val="28"/>
          <w:szCs w:val="28"/>
        </w:rPr>
        <w:t xml:space="preserve"> Declaration”)</w:t>
      </w:r>
      <w:r w:rsidR="002101C6" w:rsidRPr="00ED6BD8">
        <w:rPr>
          <w:rFonts w:eastAsia="Calibri"/>
          <w:sz w:val="28"/>
          <w:szCs w:val="28"/>
        </w:rPr>
        <w:t xml:space="preserve">, </w:t>
      </w:r>
      <w:r w:rsidR="005E7F77" w:rsidRPr="00ED6BD8">
        <w:rPr>
          <w:rFonts w:eastAsia="Calibri"/>
          <w:sz w:val="28"/>
          <w:szCs w:val="28"/>
        </w:rPr>
        <w:t xml:space="preserve">Paragraph </w:t>
      </w:r>
      <w:r w:rsidR="00ED6BD8" w:rsidRPr="00ED6BD8">
        <w:rPr>
          <w:rFonts w:eastAsia="Calibri"/>
          <w:sz w:val="28"/>
          <w:szCs w:val="28"/>
        </w:rPr>
        <w:t>10, Page 4, Line 1 – Page 6, Line 3;</w:t>
      </w:r>
      <w:r w:rsidR="001A22AC" w:rsidRPr="00ED6BD8">
        <w:rPr>
          <w:rFonts w:eastAsia="Calibri"/>
          <w:sz w:val="28"/>
          <w:szCs w:val="28"/>
        </w:rPr>
        <w:t xml:space="preserve"> Exhibits</w:t>
      </w:r>
      <w:r w:rsidR="001A22AC">
        <w:rPr>
          <w:rFonts w:eastAsia="Calibri"/>
          <w:sz w:val="28"/>
          <w:szCs w:val="28"/>
        </w:rPr>
        <w:t xml:space="preserve"> A through I</w:t>
      </w:r>
      <w:r w:rsidR="00ED6BD8">
        <w:rPr>
          <w:rFonts w:eastAsia="Calibri"/>
          <w:sz w:val="28"/>
          <w:szCs w:val="28"/>
        </w:rPr>
        <w:t>.</w:t>
      </w:r>
    </w:p>
    <w:p w:rsidR="00786D02" w:rsidRPr="00A67C1A" w:rsidRDefault="00A67C1A" w:rsidP="00A67C1A">
      <w:pPr>
        <w:spacing w:line="480" w:lineRule="auto"/>
        <w:ind w:firstLine="720"/>
        <w:jc w:val="both"/>
        <w:rPr>
          <w:rFonts w:eastAsia="Calibri"/>
          <w:sz w:val="28"/>
          <w:szCs w:val="28"/>
        </w:rPr>
      </w:pPr>
      <w:r>
        <w:rPr>
          <w:sz w:val="28"/>
          <w:szCs w:val="28"/>
        </w:rPr>
        <w:lastRenderedPageBreak/>
        <w:t xml:space="preserve">By way of </w:t>
      </w:r>
      <w:r>
        <w:rPr>
          <w:sz w:val="28"/>
          <w:szCs w:val="28"/>
        </w:rPr>
        <w:t>the April 4, 2020 Order and the amendment of April 6, 2020 (collectively “</w:t>
      </w:r>
      <w:r w:rsidRPr="00C9697A">
        <w:rPr>
          <w:sz w:val="28"/>
          <w:szCs w:val="28"/>
        </w:rPr>
        <w:t>O</w:t>
      </w:r>
      <w:r>
        <w:rPr>
          <w:sz w:val="28"/>
          <w:szCs w:val="28"/>
        </w:rPr>
        <w:t>rders Against Public Gatherings”)</w:t>
      </w:r>
      <w:r w:rsidR="00786D02" w:rsidRPr="0018242D">
        <w:rPr>
          <w:sz w:val="28"/>
          <w:szCs w:val="28"/>
        </w:rPr>
        <w:t>, the County immediately prohibited all public events and gatherings regardless of size or venue. A "gathering" was defined “as any event or convening that brings together people in a single room or single space at the same time, including, but not limited to, an auditorium, stadium, arena, theater, </w:t>
      </w:r>
      <w:r w:rsidR="00786D02" w:rsidRPr="0018242D">
        <w:rPr>
          <w:bCs/>
          <w:sz w:val="28"/>
          <w:szCs w:val="28"/>
        </w:rPr>
        <w:t>church</w:t>
      </w:r>
      <w:r w:rsidR="00786D02" w:rsidRPr="0018242D">
        <w:rPr>
          <w:sz w:val="28"/>
          <w:szCs w:val="28"/>
        </w:rPr>
        <w:t>, casino, conference room, meeting hall, cafeteria, </w:t>
      </w:r>
      <w:r w:rsidR="00786D02" w:rsidRPr="0018242D">
        <w:rPr>
          <w:bCs/>
          <w:sz w:val="28"/>
          <w:szCs w:val="28"/>
        </w:rPr>
        <w:t>drive-in theater</w:t>
      </w:r>
      <w:r w:rsidR="00786D02" w:rsidRPr="0018242D">
        <w:rPr>
          <w:sz w:val="28"/>
          <w:szCs w:val="28"/>
        </w:rPr>
        <w:t>, </w:t>
      </w:r>
      <w:r w:rsidR="00786D02" w:rsidRPr="0018242D">
        <w:rPr>
          <w:bCs/>
          <w:sz w:val="28"/>
          <w:szCs w:val="28"/>
        </w:rPr>
        <w:t>parking lot</w:t>
      </w:r>
      <w:r w:rsidR="00786D02" w:rsidRPr="0018242D">
        <w:rPr>
          <w:sz w:val="28"/>
          <w:szCs w:val="28"/>
        </w:rPr>
        <w:t>, or any other indoor or outdoor space used for any non-essential purpose including, but not limited to, movies, </w:t>
      </w:r>
      <w:r w:rsidR="00786D02" w:rsidRPr="0018242D">
        <w:rPr>
          <w:bCs/>
          <w:sz w:val="28"/>
          <w:szCs w:val="28"/>
        </w:rPr>
        <w:t>church services</w:t>
      </w:r>
      <w:r w:rsidR="00786D02" w:rsidRPr="0018242D">
        <w:rPr>
          <w:sz w:val="28"/>
          <w:szCs w:val="28"/>
        </w:rPr>
        <w:t xml:space="preserve">, swap meets, etc.” A gathering does not include: (1) a convening of persons who reside in the same residence; (2) operations at airports and/or public transportation; (3) operations at essential businesses where many people are present but are able to practice social distancing; and (4) funerals and </w:t>
      </w:r>
      <w:r w:rsidR="00786D02" w:rsidRPr="0072322F">
        <w:rPr>
          <w:sz w:val="28"/>
          <w:szCs w:val="28"/>
        </w:rPr>
        <w:t>burial services conducted in strict compliance with social distancing requirements.</w:t>
      </w:r>
      <w:r w:rsidRPr="0072322F">
        <w:rPr>
          <w:sz w:val="28"/>
          <w:szCs w:val="28"/>
        </w:rPr>
        <w:t xml:space="preserve"> </w:t>
      </w:r>
      <w:r w:rsidRPr="0072322F">
        <w:rPr>
          <w:i/>
          <w:sz w:val="28"/>
          <w:szCs w:val="28"/>
        </w:rPr>
        <w:t xml:space="preserve">See </w:t>
      </w:r>
      <w:r w:rsidRPr="0072322F">
        <w:rPr>
          <w:sz w:val="28"/>
          <w:szCs w:val="28"/>
        </w:rPr>
        <w:t>Kaiser Declaration,</w:t>
      </w:r>
      <w:r w:rsidRPr="0072322F">
        <w:rPr>
          <w:rFonts w:eastAsia="Calibri"/>
          <w:sz w:val="28"/>
          <w:szCs w:val="28"/>
        </w:rPr>
        <w:t xml:space="preserve"> </w:t>
      </w:r>
      <w:r w:rsidRPr="0072322F">
        <w:rPr>
          <w:rFonts w:eastAsia="Calibri"/>
          <w:sz w:val="28"/>
          <w:szCs w:val="28"/>
        </w:rPr>
        <w:t xml:space="preserve">Paragraph </w:t>
      </w:r>
      <w:r w:rsidR="00ED6BD8" w:rsidRPr="0072322F">
        <w:rPr>
          <w:rFonts w:eastAsia="Calibri"/>
          <w:sz w:val="28"/>
          <w:szCs w:val="28"/>
        </w:rPr>
        <w:t>10</w:t>
      </w:r>
      <w:r w:rsidRPr="0072322F">
        <w:rPr>
          <w:rFonts w:eastAsia="Calibri"/>
          <w:sz w:val="28"/>
          <w:szCs w:val="28"/>
        </w:rPr>
        <w:t xml:space="preserve">, </w:t>
      </w:r>
      <w:r w:rsidR="00ED6BD8" w:rsidRPr="0072322F">
        <w:rPr>
          <w:rFonts w:eastAsia="Calibri"/>
          <w:sz w:val="28"/>
          <w:szCs w:val="28"/>
        </w:rPr>
        <w:t>Exhibit I</w:t>
      </w:r>
      <w:r w:rsidR="0072322F" w:rsidRPr="0072322F">
        <w:rPr>
          <w:rFonts w:eastAsia="Calibri"/>
          <w:sz w:val="28"/>
          <w:szCs w:val="28"/>
        </w:rPr>
        <w:t xml:space="preserve"> at Page 4.</w:t>
      </w:r>
      <w:r w:rsidR="0072322F">
        <w:rPr>
          <w:rFonts w:eastAsia="Calibri"/>
          <w:sz w:val="28"/>
          <w:szCs w:val="28"/>
        </w:rPr>
        <w:t xml:space="preserve"> </w:t>
      </w:r>
    </w:p>
    <w:p w:rsidR="001A22AC" w:rsidRPr="0018242D" w:rsidRDefault="001A22AC" w:rsidP="001A22AC">
      <w:pPr>
        <w:spacing w:line="480" w:lineRule="auto"/>
        <w:ind w:firstLine="720"/>
        <w:jc w:val="both"/>
        <w:rPr>
          <w:sz w:val="28"/>
          <w:szCs w:val="28"/>
        </w:rPr>
      </w:pPr>
      <w:r>
        <w:rPr>
          <w:sz w:val="28"/>
          <w:szCs w:val="28"/>
        </w:rPr>
        <w:t xml:space="preserve">Notably, </w:t>
      </w:r>
      <w:r w:rsidR="00A67C1A">
        <w:rPr>
          <w:sz w:val="28"/>
          <w:szCs w:val="28"/>
        </w:rPr>
        <w:t xml:space="preserve">the </w:t>
      </w:r>
      <w:r w:rsidR="00A67C1A" w:rsidRPr="0018242D">
        <w:rPr>
          <w:sz w:val="28"/>
          <w:szCs w:val="28"/>
        </w:rPr>
        <w:t xml:space="preserve">Orders </w:t>
      </w:r>
      <w:proofErr w:type="gramStart"/>
      <w:r w:rsidR="00A67C1A" w:rsidRPr="0018242D">
        <w:rPr>
          <w:sz w:val="28"/>
          <w:szCs w:val="28"/>
        </w:rPr>
        <w:t>Against</w:t>
      </w:r>
      <w:proofErr w:type="gramEnd"/>
      <w:r w:rsidR="00A67C1A" w:rsidRPr="0018242D">
        <w:rPr>
          <w:sz w:val="28"/>
          <w:szCs w:val="28"/>
        </w:rPr>
        <w:t xml:space="preserve"> Public Gatherings</w:t>
      </w:r>
      <w:r w:rsidR="00A67C1A">
        <w:rPr>
          <w:sz w:val="28"/>
          <w:szCs w:val="28"/>
        </w:rPr>
        <w:t xml:space="preserve"> </w:t>
      </w:r>
      <w:r>
        <w:rPr>
          <w:sz w:val="28"/>
          <w:szCs w:val="28"/>
        </w:rPr>
        <w:t>are orders</w:t>
      </w:r>
      <w:r w:rsidRPr="00C9697A">
        <w:rPr>
          <w:sz w:val="28"/>
          <w:szCs w:val="28"/>
        </w:rPr>
        <w:t xml:space="preserve"> </w:t>
      </w:r>
      <w:r>
        <w:rPr>
          <w:sz w:val="28"/>
          <w:szCs w:val="28"/>
        </w:rPr>
        <w:t>of</w:t>
      </w:r>
      <w:r w:rsidRPr="00C9697A">
        <w:rPr>
          <w:sz w:val="28"/>
          <w:szCs w:val="28"/>
        </w:rPr>
        <w:t xml:space="preserve"> laws of </w:t>
      </w:r>
      <w:r w:rsidRPr="00C9697A">
        <w:rPr>
          <w:i/>
          <w:sz w:val="28"/>
          <w:szCs w:val="28"/>
        </w:rPr>
        <w:t>general applicability</w:t>
      </w:r>
      <w:r w:rsidR="00A67C1A">
        <w:rPr>
          <w:sz w:val="28"/>
          <w:szCs w:val="28"/>
        </w:rPr>
        <w:t>; t</w:t>
      </w:r>
      <w:r w:rsidRPr="00C9697A">
        <w:rPr>
          <w:sz w:val="28"/>
          <w:szCs w:val="28"/>
        </w:rPr>
        <w:t xml:space="preserve">hey apply to </w:t>
      </w:r>
      <w:r w:rsidRPr="00A67C1A">
        <w:rPr>
          <w:sz w:val="28"/>
          <w:szCs w:val="28"/>
          <w:u w:val="single"/>
        </w:rPr>
        <w:t>all</w:t>
      </w:r>
      <w:r w:rsidRPr="00C9697A">
        <w:rPr>
          <w:sz w:val="28"/>
          <w:szCs w:val="28"/>
        </w:rPr>
        <w:t xml:space="preserve"> residents and visitors in the State and this County. These orders were specifically based upon the March 19</w:t>
      </w:r>
      <w:r w:rsidR="00A67C1A" w:rsidRPr="00A67C1A">
        <w:rPr>
          <w:sz w:val="28"/>
          <w:szCs w:val="28"/>
          <w:vertAlign w:val="superscript"/>
        </w:rPr>
        <w:t>th</w:t>
      </w:r>
      <w:r w:rsidR="00A67C1A">
        <w:rPr>
          <w:sz w:val="28"/>
          <w:szCs w:val="28"/>
        </w:rPr>
        <w:t xml:space="preserve"> O</w:t>
      </w:r>
      <w:r w:rsidRPr="00C9697A">
        <w:rPr>
          <w:sz w:val="28"/>
          <w:szCs w:val="28"/>
        </w:rPr>
        <w:t>rders of the Governor and the Director of the California Department of Public Health since the County does not have any legal authority to issue orders less restrictive than the State’s orders. Neith</w:t>
      </w:r>
      <w:r w:rsidR="00A67C1A">
        <w:rPr>
          <w:sz w:val="28"/>
          <w:szCs w:val="28"/>
        </w:rPr>
        <w:t>er Plaintiffs’ church services no</w:t>
      </w:r>
      <w:r w:rsidRPr="00C9697A">
        <w:rPr>
          <w:sz w:val="28"/>
          <w:szCs w:val="28"/>
        </w:rPr>
        <w:t xml:space="preserve">r churches are singled out or otherwise treated adversely under the orders. </w:t>
      </w:r>
    </w:p>
    <w:p w:rsidR="00786D02" w:rsidRPr="0018242D" w:rsidRDefault="00786D02" w:rsidP="0018242D">
      <w:pPr>
        <w:spacing w:line="480" w:lineRule="auto"/>
        <w:ind w:firstLine="720"/>
        <w:jc w:val="both"/>
        <w:rPr>
          <w:sz w:val="28"/>
          <w:szCs w:val="28"/>
        </w:rPr>
      </w:pPr>
      <w:r w:rsidRPr="0018242D">
        <w:rPr>
          <w:sz w:val="28"/>
          <w:szCs w:val="28"/>
        </w:rPr>
        <w:t xml:space="preserve">The Orders Against Public Gatherings were issued by the Health Officer and County Executive Order as a result of the worldwide pandemic of COVID-19 disease, also known </w:t>
      </w:r>
      <w:r w:rsidRPr="0018242D">
        <w:rPr>
          <w:sz w:val="28"/>
          <w:szCs w:val="28"/>
        </w:rPr>
        <w:lastRenderedPageBreak/>
        <w:t xml:space="preserve">as “novel coronavirus,” which at the time of issuing the Orders Against Public Gatherings had infected over one million individuals worldwide in over 180 countries and was implicated in over 50,000 worldwide deaths, including six hundred cases and fifteen (15) deaths in Riverside County.  The Orders </w:t>
      </w:r>
      <w:proofErr w:type="gramStart"/>
      <w:r w:rsidRPr="0018242D">
        <w:rPr>
          <w:sz w:val="28"/>
          <w:szCs w:val="28"/>
        </w:rPr>
        <w:t>Against</w:t>
      </w:r>
      <w:proofErr w:type="gramEnd"/>
      <w:r w:rsidRPr="0018242D">
        <w:rPr>
          <w:sz w:val="28"/>
          <w:szCs w:val="28"/>
        </w:rPr>
        <w:t xml:space="preserve"> Public Gatherings were intended to address the strain upon the health care system from the effects of the COVID-19 virus.  And to reduce the likelihood of exposure to COVID-19, thereby slowing the spread of COVID-19 in communities worldwide.</w:t>
      </w:r>
    </w:p>
    <w:p w:rsidR="00786D02" w:rsidRPr="0018242D" w:rsidRDefault="00786D02" w:rsidP="0018242D">
      <w:pPr>
        <w:spacing w:line="480" w:lineRule="auto"/>
        <w:ind w:firstLine="720"/>
        <w:jc w:val="both"/>
        <w:rPr>
          <w:sz w:val="28"/>
          <w:szCs w:val="28"/>
        </w:rPr>
      </w:pPr>
      <w:r w:rsidRPr="0018242D">
        <w:rPr>
          <w:sz w:val="28"/>
          <w:szCs w:val="28"/>
        </w:rPr>
        <w:t xml:space="preserve">The Orders Against Public Gatherings were made pursuant to: California </w:t>
      </w:r>
      <w:r w:rsidRPr="0018242D">
        <w:rPr>
          <w:i/>
          <w:sz w:val="28"/>
          <w:szCs w:val="28"/>
        </w:rPr>
        <w:t>Health and Safety Code</w:t>
      </w:r>
      <w:r w:rsidRPr="0018242D">
        <w:rPr>
          <w:sz w:val="28"/>
          <w:szCs w:val="28"/>
        </w:rPr>
        <w:t xml:space="preserve"> sections 101030, 101040, 101085, AND 120175; Title 17 California Code of Regulations section 2501; Article XI of the California Constitution; California  sections 8610, 8630, 8634 and 8655; and Riverside County Code sections 442 and 533.6. </w:t>
      </w:r>
    </w:p>
    <w:p w:rsidR="00786D02" w:rsidRPr="0018242D" w:rsidRDefault="00786D02" w:rsidP="0018242D">
      <w:pPr>
        <w:spacing w:line="480" w:lineRule="auto"/>
        <w:ind w:firstLine="720"/>
        <w:jc w:val="both"/>
        <w:rPr>
          <w:sz w:val="28"/>
          <w:szCs w:val="28"/>
        </w:rPr>
      </w:pPr>
      <w:r w:rsidRPr="0018242D">
        <w:rPr>
          <w:sz w:val="28"/>
          <w:szCs w:val="28"/>
        </w:rPr>
        <w:t xml:space="preserve">The Orders </w:t>
      </w:r>
      <w:proofErr w:type="gramStart"/>
      <w:r w:rsidRPr="0018242D">
        <w:rPr>
          <w:sz w:val="28"/>
          <w:szCs w:val="28"/>
        </w:rPr>
        <w:t>Against</w:t>
      </w:r>
      <w:proofErr w:type="gramEnd"/>
      <w:r w:rsidRPr="0018242D">
        <w:rPr>
          <w:sz w:val="28"/>
          <w:szCs w:val="28"/>
        </w:rPr>
        <w:t xml:space="preserve"> Public Gatherings were issued in accordance with, and incorporated by reference, the: </w:t>
      </w:r>
    </w:p>
    <w:p w:rsidR="00786D02" w:rsidRPr="0018242D" w:rsidRDefault="00786D02" w:rsidP="0018242D">
      <w:pPr>
        <w:pStyle w:val="ListParagraph"/>
        <w:numPr>
          <w:ilvl w:val="0"/>
          <w:numId w:val="5"/>
        </w:numPr>
        <w:spacing w:after="200" w:line="480" w:lineRule="auto"/>
        <w:jc w:val="both"/>
        <w:rPr>
          <w:sz w:val="28"/>
          <w:szCs w:val="28"/>
        </w:rPr>
      </w:pPr>
      <w:r w:rsidRPr="0018242D">
        <w:rPr>
          <w:sz w:val="28"/>
          <w:szCs w:val="28"/>
        </w:rPr>
        <w:t xml:space="preserve">March 4, 2020 Proclamation of a State Emergency issued by Governor Gavin Newsom; </w:t>
      </w:r>
    </w:p>
    <w:p w:rsidR="00786D02" w:rsidRPr="0018242D" w:rsidRDefault="00786D02" w:rsidP="0018242D">
      <w:pPr>
        <w:pStyle w:val="ListParagraph"/>
        <w:numPr>
          <w:ilvl w:val="0"/>
          <w:numId w:val="5"/>
        </w:numPr>
        <w:spacing w:after="200" w:line="480" w:lineRule="auto"/>
        <w:jc w:val="both"/>
        <w:rPr>
          <w:sz w:val="28"/>
          <w:szCs w:val="28"/>
        </w:rPr>
      </w:pPr>
      <w:r w:rsidRPr="0018242D">
        <w:rPr>
          <w:sz w:val="28"/>
          <w:szCs w:val="28"/>
        </w:rPr>
        <w:t xml:space="preserve">March 8, 2020 Declaration of Local Health Emergency based on an imminent and proximate threat to public health from the introduction of novel COVID-19 in Riverside County; </w:t>
      </w:r>
    </w:p>
    <w:p w:rsidR="00786D02" w:rsidRPr="0018242D" w:rsidRDefault="00786D02" w:rsidP="0018242D">
      <w:pPr>
        <w:pStyle w:val="ListParagraph"/>
        <w:numPr>
          <w:ilvl w:val="0"/>
          <w:numId w:val="5"/>
        </w:numPr>
        <w:spacing w:after="200" w:line="480" w:lineRule="auto"/>
        <w:jc w:val="both"/>
        <w:rPr>
          <w:sz w:val="28"/>
          <w:szCs w:val="28"/>
        </w:rPr>
      </w:pPr>
      <w:r w:rsidRPr="0018242D">
        <w:rPr>
          <w:sz w:val="28"/>
          <w:szCs w:val="28"/>
        </w:rPr>
        <w:lastRenderedPageBreak/>
        <w:t xml:space="preserve">March 10, 2020 Resolution of the Board of Supervisors of the County of Riverside proclaiming the existence of a Local Emergency in the County of Riverside regarding COVID-19; </w:t>
      </w:r>
    </w:p>
    <w:p w:rsidR="00786D02" w:rsidRPr="0018242D" w:rsidRDefault="00786D02" w:rsidP="0018242D">
      <w:pPr>
        <w:pStyle w:val="ListParagraph"/>
        <w:numPr>
          <w:ilvl w:val="0"/>
          <w:numId w:val="5"/>
        </w:numPr>
        <w:spacing w:after="200" w:line="480" w:lineRule="auto"/>
        <w:jc w:val="both"/>
        <w:rPr>
          <w:sz w:val="28"/>
          <w:szCs w:val="28"/>
        </w:rPr>
      </w:pPr>
      <w:r w:rsidRPr="0018242D">
        <w:rPr>
          <w:sz w:val="28"/>
          <w:szCs w:val="28"/>
        </w:rPr>
        <w:t xml:space="preserve">March 10, 2020 Resolution of the Board of Supervisors of the County of Riverside ratifying and extending the Declaration of Local Health Emergency due to COVID-19; </w:t>
      </w:r>
    </w:p>
    <w:p w:rsidR="00786D02" w:rsidRPr="0018242D" w:rsidRDefault="00786D02" w:rsidP="0018242D">
      <w:pPr>
        <w:pStyle w:val="ListParagraph"/>
        <w:numPr>
          <w:ilvl w:val="0"/>
          <w:numId w:val="5"/>
        </w:numPr>
        <w:spacing w:after="200" w:line="480" w:lineRule="auto"/>
        <w:jc w:val="both"/>
        <w:rPr>
          <w:sz w:val="28"/>
          <w:szCs w:val="28"/>
        </w:rPr>
      </w:pPr>
      <w:r w:rsidRPr="0018242D">
        <w:rPr>
          <w:sz w:val="28"/>
          <w:szCs w:val="28"/>
        </w:rPr>
        <w:t xml:space="preserve">Guidance issued on March 11, 2020 by the California Department of Public Health regarding large gatherings of 250 people or more; </w:t>
      </w:r>
    </w:p>
    <w:p w:rsidR="00786D02" w:rsidRPr="0018242D" w:rsidRDefault="00786D02" w:rsidP="0018242D">
      <w:pPr>
        <w:pStyle w:val="ListParagraph"/>
        <w:numPr>
          <w:ilvl w:val="0"/>
          <w:numId w:val="5"/>
        </w:numPr>
        <w:spacing w:after="200" w:line="480" w:lineRule="auto"/>
        <w:jc w:val="both"/>
        <w:rPr>
          <w:sz w:val="28"/>
          <w:szCs w:val="28"/>
        </w:rPr>
      </w:pPr>
      <w:r w:rsidRPr="0018242D">
        <w:rPr>
          <w:sz w:val="28"/>
          <w:szCs w:val="28"/>
        </w:rPr>
        <w:t xml:space="preserve">Governor Gavin Newsom’s Executive Order N-25-20 of March 12, 2020 preparing the State to commandeer hotels and other places of temporary residence, medical facilities, and other facilities that are suitable as places of temporary residence or medical facilities as necessary for quarantining, isolating or treating individuals who test positive for COVID-19 or who have had a high-risk exposure and are thought to be in the incubation period; </w:t>
      </w:r>
    </w:p>
    <w:p w:rsidR="00786D02" w:rsidRPr="0018242D" w:rsidRDefault="00786D02" w:rsidP="0018242D">
      <w:pPr>
        <w:pStyle w:val="ListParagraph"/>
        <w:numPr>
          <w:ilvl w:val="0"/>
          <w:numId w:val="5"/>
        </w:numPr>
        <w:spacing w:after="200" w:line="480" w:lineRule="auto"/>
        <w:jc w:val="both"/>
        <w:rPr>
          <w:sz w:val="28"/>
          <w:szCs w:val="28"/>
        </w:rPr>
      </w:pPr>
      <w:r w:rsidRPr="0018242D">
        <w:rPr>
          <w:sz w:val="28"/>
          <w:szCs w:val="28"/>
        </w:rPr>
        <w:t xml:space="preserve">Guidance issued on March 15, 2020 by the Centers for Disease Control and Prevention, the California Department of Public Health, and other public health officials through the United States and around the world recommending the cancellation of gatherings involving more than fifty (50) or more persons in a single space at the same time; </w:t>
      </w:r>
    </w:p>
    <w:p w:rsidR="00786D02" w:rsidRPr="0018242D" w:rsidRDefault="00786D02" w:rsidP="0018242D">
      <w:pPr>
        <w:pStyle w:val="ListParagraph"/>
        <w:numPr>
          <w:ilvl w:val="0"/>
          <w:numId w:val="5"/>
        </w:numPr>
        <w:spacing w:after="200" w:line="480" w:lineRule="auto"/>
        <w:jc w:val="both"/>
        <w:rPr>
          <w:sz w:val="28"/>
          <w:szCs w:val="28"/>
        </w:rPr>
      </w:pPr>
      <w:r w:rsidRPr="0018242D">
        <w:rPr>
          <w:sz w:val="28"/>
          <w:szCs w:val="28"/>
        </w:rPr>
        <w:lastRenderedPageBreak/>
        <w:t xml:space="preserve">March 16, 2020 order of the Public Health Officer prohibiting all gatherings with expected presence above ten (10) individuals; </w:t>
      </w:r>
    </w:p>
    <w:p w:rsidR="00786D02" w:rsidRDefault="00786D02" w:rsidP="0018242D">
      <w:pPr>
        <w:pStyle w:val="ListParagraph"/>
        <w:numPr>
          <w:ilvl w:val="0"/>
          <w:numId w:val="5"/>
        </w:numPr>
        <w:spacing w:after="200" w:line="480" w:lineRule="auto"/>
        <w:jc w:val="both"/>
        <w:rPr>
          <w:sz w:val="28"/>
          <w:szCs w:val="28"/>
        </w:rPr>
      </w:pPr>
      <w:r w:rsidRPr="0018242D">
        <w:rPr>
          <w:sz w:val="28"/>
          <w:szCs w:val="28"/>
        </w:rPr>
        <w:t xml:space="preserve">Governor Newsom’s Executive Order N-33-20 of March 19, 2020 ordering all persons to stay at home to protect the health and well-being of all Californians and to establish consistency across the state in order to slow the spread of COVID-19; </w:t>
      </w:r>
    </w:p>
    <w:p w:rsidR="001A22AC" w:rsidRDefault="001A22AC" w:rsidP="0018242D">
      <w:pPr>
        <w:pStyle w:val="ListParagraph"/>
        <w:numPr>
          <w:ilvl w:val="0"/>
          <w:numId w:val="5"/>
        </w:numPr>
        <w:spacing w:after="200" w:line="480" w:lineRule="auto"/>
        <w:jc w:val="both"/>
        <w:rPr>
          <w:sz w:val="28"/>
          <w:szCs w:val="28"/>
        </w:rPr>
      </w:pPr>
      <w:r>
        <w:rPr>
          <w:sz w:val="28"/>
          <w:szCs w:val="28"/>
        </w:rPr>
        <w:t>The Order of the State Public H</w:t>
      </w:r>
      <w:r w:rsidR="00B57C85">
        <w:rPr>
          <w:sz w:val="28"/>
          <w:szCs w:val="28"/>
        </w:rPr>
        <w:t xml:space="preserve">ealth Officer of March 19, 2020 requiring all individuals living in the State of California to stay home or at their place of residence except as needed to </w:t>
      </w:r>
      <w:r w:rsidR="00B57C85" w:rsidRPr="00B57C85">
        <w:rPr>
          <w:sz w:val="28"/>
          <w:szCs w:val="28"/>
        </w:rPr>
        <w:t xml:space="preserve">maintain continuity of operations of the federal critical infrastructure sectors, as outlined at </w:t>
      </w:r>
      <w:hyperlink r:id="rId9" w:history="1">
        <w:r w:rsidR="00B57C85" w:rsidRPr="00271AF0">
          <w:rPr>
            <w:rStyle w:val="Hyperlink"/>
            <w:sz w:val="28"/>
            <w:szCs w:val="28"/>
          </w:rPr>
          <w:t>https://www.cisa.gov/identifying-critical-infrastructure-during-covid-19</w:t>
        </w:r>
      </w:hyperlink>
      <w:r w:rsidR="00B57C85" w:rsidRPr="00B57C85">
        <w:rPr>
          <w:sz w:val="28"/>
          <w:szCs w:val="28"/>
        </w:rPr>
        <w:t>.</w:t>
      </w:r>
      <w:r w:rsidR="00B57C85">
        <w:rPr>
          <w:sz w:val="28"/>
          <w:szCs w:val="28"/>
        </w:rPr>
        <w:t xml:space="preserve"> </w:t>
      </w:r>
    </w:p>
    <w:p w:rsidR="00B57C85" w:rsidRPr="0018242D" w:rsidRDefault="00B57C85" w:rsidP="00B57C85">
      <w:pPr>
        <w:pStyle w:val="ListParagraph"/>
        <w:numPr>
          <w:ilvl w:val="0"/>
          <w:numId w:val="5"/>
        </w:numPr>
        <w:spacing w:after="200" w:line="480" w:lineRule="auto"/>
        <w:jc w:val="both"/>
        <w:rPr>
          <w:sz w:val="28"/>
          <w:szCs w:val="28"/>
        </w:rPr>
      </w:pPr>
      <w:r>
        <w:rPr>
          <w:sz w:val="28"/>
          <w:szCs w:val="28"/>
        </w:rPr>
        <w:t xml:space="preserve">The </w:t>
      </w:r>
      <w:r w:rsidRPr="00B57C85">
        <w:rPr>
          <w:sz w:val="28"/>
          <w:szCs w:val="28"/>
        </w:rPr>
        <w:t>State Public Health Officer</w:t>
      </w:r>
      <w:r>
        <w:rPr>
          <w:sz w:val="28"/>
          <w:szCs w:val="28"/>
        </w:rPr>
        <w:t xml:space="preserve">’s March 22, 2020 designation </w:t>
      </w:r>
      <w:r w:rsidRPr="00B57C85">
        <w:rPr>
          <w:sz w:val="28"/>
          <w:szCs w:val="28"/>
        </w:rPr>
        <w:t>of “’Essential Critical Infrastructure Workers’ to help state, local, tribal, and industry partners as they work to protect communities, while ensuring the continuity of functions critical to public health and safety, as well as economic and natio</w:t>
      </w:r>
      <w:r>
        <w:rPr>
          <w:sz w:val="28"/>
          <w:szCs w:val="28"/>
        </w:rPr>
        <w:t>nal security”</w:t>
      </w:r>
      <w:r w:rsidR="00DD0D9A">
        <w:rPr>
          <w:sz w:val="28"/>
          <w:szCs w:val="28"/>
        </w:rPr>
        <w:t>.</w:t>
      </w:r>
    </w:p>
    <w:p w:rsidR="00786D02" w:rsidRPr="0018242D" w:rsidRDefault="00786D02" w:rsidP="0018242D">
      <w:pPr>
        <w:pStyle w:val="ListParagraph"/>
        <w:numPr>
          <w:ilvl w:val="0"/>
          <w:numId w:val="5"/>
        </w:numPr>
        <w:spacing w:after="200" w:line="480" w:lineRule="auto"/>
        <w:jc w:val="both"/>
        <w:rPr>
          <w:sz w:val="28"/>
          <w:szCs w:val="28"/>
        </w:rPr>
      </w:pPr>
      <w:r w:rsidRPr="0018242D">
        <w:rPr>
          <w:sz w:val="28"/>
          <w:szCs w:val="28"/>
        </w:rPr>
        <w:t>Governor Newsom’s Executive Order N-35-20 giving the state the ability to increase the health care capacity in clinics, mobile health care units and adult day health care facilities and allowing local governments more flexibility to utilize the skills of retired employees in order to meet the COVID-19 surge.</w:t>
      </w:r>
    </w:p>
    <w:p w:rsidR="00786D02" w:rsidRPr="0018242D" w:rsidRDefault="00786D02" w:rsidP="0018242D">
      <w:pPr>
        <w:pStyle w:val="ListParagraph"/>
        <w:numPr>
          <w:ilvl w:val="0"/>
          <w:numId w:val="5"/>
        </w:numPr>
        <w:spacing w:after="200" w:line="480" w:lineRule="auto"/>
        <w:jc w:val="both"/>
        <w:rPr>
          <w:sz w:val="28"/>
          <w:szCs w:val="28"/>
        </w:rPr>
      </w:pPr>
      <w:r w:rsidRPr="0018242D">
        <w:rPr>
          <w:sz w:val="28"/>
          <w:szCs w:val="28"/>
        </w:rPr>
        <w:t>Governor Newsom’s Executive Order N-39-20 intended to expand the health care workforce and recruit health care professionals to address the COVID-19 surge.</w:t>
      </w:r>
    </w:p>
    <w:p w:rsidR="00786D02" w:rsidRPr="0018242D" w:rsidRDefault="00786D02" w:rsidP="0018242D">
      <w:pPr>
        <w:pStyle w:val="ListParagraph"/>
        <w:numPr>
          <w:ilvl w:val="0"/>
          <w:numId w:val="5"/>
        </w:numPr>
        <w:spacing w:after="200" w:line="480" w:lineRule="auto"/>
        <w:jc w:val="both"/>
        <w:rPr>
          <w:sz w:val="28"/>
          <w:szCs w:val="28"/>
        </w:rPr>
      </w:pPr>
      <w:r w:rsidRPr="0018242D">
        <w:rPr>
          <w:sz w:val="28"/>
          <w:szCs w:val="28"/>
        </w:rPr>
        <w:lastRenderedPageBreak/>
        <w:t>The Centers for Disease Control and Prevention’s "Interim Additional Guidance for Infection Prevention and Control for Patients with Suspected or Confirmed COVID-19 in Nursing Homes”.</w:t>
      </w:r>
    </w:p>
    <w:p w:rsidR="00786D02" w:rsidRPr="00A203E3" w:rsidRDefault="00786D02" w:rsidP="0018242D">
      <w:pPr>
        <w:pStyle w:val="ListParagraph"/>
        <w:numPr>
          <w:ilvl w:val="0"/>
          <w:numId w:val="5"/>
        </w:numPr>
        <w:spacing w:after="200" w:line="480" w:lineRule="auto"/>
        <w:jc w:val="both"/>
        <w:rPr>
          <w:sz w:val="28"/>
          <w:szCs w:val="28"/>
        </w:rPr>
      </w:pPr>
      <w:r w:rsidRPr="0018242D">
        <w:rPr>
          <w:sz w:val="28"/>
          <w:szCs w:val="28"/>
        </w:rPr>
        <w:t xml:space="preserve">The California Department of Public Health Face Covering Guidance issued on April </w:t>
      </w:r>
      <w:r w:rsidRPr="00A203E3">
        <w:rPr>
          <w:sz w:val="28"/>
          <w:szCs w:val="28"/>
        </w:rPr>
        <w:t>1, 2020.</w:t>
      </w:r>
    </w:p>
    <w:p w:rsidR="00A203E3" w:rsidRDefault="00B57C85" w:rsidP="00A203E3">
      <w:pPr>
        <w:spacing w:line="480" w:lineRule="auto"/>
        <w:ind w:firstLine="720"/>
        <w:jc w:val="both"/>
        <w:rPr>
          <w:sz w:val="28"/>
          <w:szCs w:val="28"/>
        </w:rPr>
      </w:pPr>
      <w:r w:rsidRPr="00A203E3">
        <w:rPr>
          <w:sz w:val="28"/>
          <w:szCs w:val="28"/>
        </w:rPr>
        <w:t>On April</w:t>
      </w:r>
      <w:r w:rsidR="00E06D6A" w:rsidRPr="00A203E3">
        <w:rPr>
          <w:sz w:val="28"/>
          <w:szCs w:val="28"/>
        </w:rPr>
        <w:t xml:space="preserve"> 13, 2020</w:t>
      </w:r>
      <w:r w:rsidR="005839DA" w:rsidRPr="00A203E3">
        <w:rPr>
          <w:sz w:val="28"/>
          <w:szCs w:val="28"/>
        </w:rPr>
        <w:t>, Plaintiffs</w:t>
      </w:r>
      <w:r w:rsidR="005839DA">
        <w:rPr>
          <w:sz w:val="28"/>
          <w:szCs w:val="28"/>
        </w:rPr>
        <w:t xml:space="preserve"> </w:t>
      </w:r>
      <w:r w:rsidR="00A203E3">
        <w:rPr>
          <w:sz w:val="28"/>
          <w:szCs w:val="28"/>
        </w:rPr>
        <w:t>W</w:t>
      </w:r>
      <w:r w:rsidR="00A203E3" w:rsidRPr="00A203E3">
        <w:rPr>
          <w:sz w:val="28"/>
          <w:szCs w:val="28"/>
        </w:rPr>
        <w:t xml:space="preserve">ENDY GISH, PATRICK SCALES, JAMES DEAN MOFFATT, </w:t>
      </w:r>
      <w:r w:rsidR="00A203E3">
        <w:rPr>
          <w:sz w:val="28"/>
          <w:szCs w:val="28"/>
        </w:rPr>
        <w:t xml:space="preserve">and BRENDA WOOD filed their lawsuit against Governor Gavin Newsom, Attorney General Xavier Becerra, the County of San Bernardino, the County of Riverside, and elected officials and </w:t>
      </w:r>
      <w:r w:rsidR="00A203E3">
        <w:rPr>
          <w:sz w:val="28"/>
          <w:szCs w:val="28"/>
        </w:rPr>
        <w:t>named</w:t>
      </w:r>
      <w:r w:rsidR="00A203E3">
        <w:rPr>
          <w:sz w:val="28"/>
          <w:szCs w:val="28"/>
        </w:rPr>
        <w:t xml:space="preserve"> employees thereof, alleging various violations of the </w:t>
      </w:r>
      <w:r w:rsidR="00A203E3" w:rsidRPr="00A203E3">
        <w:rPr>
          <w:sz w:val="28"/>
          <w:szCs w:val="28"/>
        </w:rPr>
        <w:t>First and Fourteenth Amendments to the U.S. Constitution and</w:t>
      </w:r>
      <w:r w:rsidR="00A203E3">
        <w:rPr>
          <w:sz w:val="28"/>
          <w:szCs w:val="28"/>
        </w:rPr>
        <w:t xml:space="preserve"> </w:t>
      </w:r>
      <w:r w:rsidR="00A203E3" w:rsidRPr="00A203E3">
        <w:rPr>
          <w:sz w:val="28"/>
          <w:szCs w:val="28"/>
        </w:rPr>
        <w:t>Article 1, Sections 1, 2, and 4 of the California Constitution</w:t>
      </w:r>
      <w:r w:rsidR="00A203E3">
        <w:rPr>
          <w:sz w:val="28"/>
          <w:szCs w:val="28"/>
        </w:rPr>
        <w:t xml:space="preserve">.  </w:t>
      </w:r>
    </w:p>
    <w:p w:rsidR="00A203E3" w:rsidRDefault="00A203E3" w:rsidP="00A203E3">
      <w:pPr>
        <w:spacing w:line="480" w:lineRule="auto"/>
        <w:ind w:firstLine="720"/>
        <w:jc w:val="both"/>
        <w:rPr>
          <w:rFonts w:eastAsia="Calibri"/>
          <w:sz w:val="28"/>
          <w:szCs w:val="28"/>
        </w:rPr>
      </w:pPr>
      <w:r>
        <w:rPr>
          <w:sz w:val="28"/>
          <w:szCs w:val="28"/>
        </w:rPr>
        <w:t xml:space="preserve">On April 14, 2020, Plaintiffs filed an Application for Temporary Restraining Order, seeking </w:t>
      </w:r>
      <w:proofErr w:type="spellStart"/>
      <w:r>
        <w:rPr>
          <w:sz w:val="28"/>
          <w:szCs w:val="28"/>
        </w:rPr>
        <w:t>a</w:t>
      </w:r>
      <w:proofErr w:type="spellEnd"/>
      <w:r>
        <w:rPr>
          <w:sz w:val="28"/>
          <w:szCs w:val="28"/>
        </w:rPr>
        <w:t xml:space="preserve"> broad Order of the Court that “D</w:t>
      </w:r>
      <w:r w:rsidRPr="00A203E3">
        <w:rPr>
          <w:sz w:val="28"/>
          <w:szCs w:val="28"/>
        </w:rPr>
        <w:t>efendants, as well as their agents, employees, and successors in office, shall be restrained and enjoined from enforcing, attempting to enforce, threatening to enforce, or otherwise requiring compliance with any prohibition on Plaintiffs’ engagement in religious services, practices, or activities at which the Center for Disease Control’s social dis</w:t>
      </w:r>
      <w:r>
        <w:rPr>
          <w:sz w:val="28"/>
          <w:szCs w:val="28"/>
        </w:rPr>
        <w:t xml:space="preserve">tancing guidelines are followed”.  </w:t>
      </w:r>
      <w:r w:rsidRPr="0018242D">
        <w:rPr>
          <w:rFonts w:eastAsia="Calibri"/>
          <w:sz w:val="28"/>
          <w:szCs w:val="28"/>
        </w:rPr>
        <w:t>[</w:t>
      </w:r>
      <w:r>
        <w:rPr>
          <w:rFonts w:eastAsia="Calibri"/>
          <w:i/>
          <w:sz w:val="28"/>
          <w:szCs w:val="28"/>
        </w:rPr>
        <w:t xml:space="preserve">See </w:t>
      </w:r>
      <w:r>
        <w:rPr>
          <w:rFonts w:eastAsia="Calibri"/>
          <w:sz w:val="28"/>
          <w:szCs w:val="28"/>
        </w:rPr>
        <w:t xml:space="preserve">Doc. </w:t>
      </w:r>
      <w:r>
        <w:rPr>
          <w:rFonts w:eastAsia="Calibri"/>
          <w:sz w:val="28"/>
          <w:szCs w:val="28"/>
        </w:rPr>
        <w:t>8, p. 1, lines 24-28</w:t>
      </w:r>
      <w:r>
        <w:rPr>
          <w:rFonts w:eastAsia="Calibri"/>
          <w:sz w:val="28"/>
          <w:szCs w:val="28"/>
        </w:rPr>
        <w:t>.]</w:t>
      </w:r>
      <w:r>
        <w:rPr>
          <w:rFonts w:eastAsia="Calibri"/>
          <w:sz w:val="28"/>
          <w:szCs w:val="28"/>
        </w:rPr>
        <w:t xml:space="preserve">  </w:t>
      </w:r>
    </w:p>
    <w:p w:rsidR="002101C6" w:rsidRDefault="00A203E3" w:rsidP="00A203E3">
      <w:pPr>
        <w:spacing w:line="480" w:lineRule="auto"/>
        <w:ind w:firstLine="720"/>
        <w:jc w:val="both"/>
        <w:rPr>
          <w:rFonts w:eastAsia="Calibri"/>
          <w:sz w:val="28"/>
          <w:szCs w:val="28"/>
        </w:rPr>
      </w:pPr>
      <w:r>
        <w:rPr>
          <w:rFonts w:eastAsia="Calibri"/>
          <w:sz w:val="28"/>
          <w:szCs w:val="28"/>
        </w:rPr>
        <w:t xml:space="preserve">The County refutes Plaintiffs’ claims that they are entitled to this relief and requests that the Court deny the Application in its entirety </w:t>
      </w:r>
      <w:r w:rsidR="00061B9A">
        <w:rPr>
          <w:rFonts w:eastAsia="Calibri"/>
          <w:sz w:val="28"/>
          <w:szCs w:val="28"/>
        </w:rPr>
        <w:t xml:space="preserve">for the reasons set forth herein.  </w:t>
      </w:r>
    </w:p>
    <w:p w:rsidR="00DD0D9A" w:rsidRPr="00DD0D9A" w:rsidRDefault="00DD0D9A" w:rsidP="00DD0D9A">
      <w:pPr>
        <w:spacing w:line="480" w:lineRule="auto"/>
        <w:jc w:val="both"/>
        <w:rPr>
          <w:rFonts w:eastAsia="Calibri"/>
          <w:sz w:val="28"/>
          <w:szCs w:val="28"/>
        </w:rPr>
      </w:pPr>
      <w:r>
        <w:rPr>
          <w:rFonts w:eastAsia="Calibri"/>
          <w:sz w:val="28"/>
          <w:szCs w:val="28"/>
        </w:rPr>
        <w:t xml:space="preserve">/ / / </w:t>
      </w:r>
    </w:p>
    <w:p w:rsidR="00D8256B" w:rsidRPr="0018242D" w:rsidRDefault="00D8256B" w:rsidP="0018242D">
      <w:pPr>
        <w:spacing w:line="480" w:lineRule="auto"/>
        <w:jc w:val="center"/>
        <w:rPr>
          <w:rFonts w:eastAsia="Calibri"/>
          <w:b/>
          <w:sz w:val="28"/>
          <w:szCs w:val="28"/>
        </w:rPr>
      </w:pPr>
      <w:r w:rsidRPr="0018242D">
        <w:rPr>
          <w:rFonts w:eastAsia="Calibri"/>
          <w:b/>
          <w:sz w:val="28"/>
          <w:szCs w:val="28"/>
        </w:rPr>
        <w:lastRenderedPageBreak/>
        <w:t>I</w:t>
      </w:r>
      <w:r w:rsidR="00B210DC">
        <w:rPr>
          <w:rFonts w:eastAsia="Calibri"/>
          <w:b/>
          <w:sz w:val="28"/>
          <w:szCs w:val="28"/>
        </w:rPr>
        <w:t>I</w:t>
      </w:r>
      <w:r w:rsidRPr="0018242D">
        <w:rPr>
          <w:rFonts w:eastAsia="Calibri"/>
          <w:b/>
          <w:sz w:val="28"/>
          <w:szCs w:val="28"/>
        </w:rPr>
        <w:t>I.</w:t>
      </w:r>
    </w:p>
    <w:p w:rsidR="001569B5" w:rsidRDefault="001569B5" w:rsidP="001569B5">
      <w:pPr>
        <w:spacing w:line="480" w:lineRule="auto"/>
        <w:jc w:val="center"/>
        <w:rPr>
          <w:rFonts w:eastAsia="Calibri"/>
          <w:b/>
          <w:sz w:val="28"/>
          <w:szCs w:val="28"/>
        </w:rPr>
      </w:pPr>
      <w:r>
        <w:rPr>
          <w:rFonts w:eastAsia="Calibri"/>
          <w:b/>
          <w:sz w:val="28"/>
          <w:szCs w:val="28"/>
        </w:rPr>
        <w:t>LEGAL ANALYSIS</w:t>
      </w:r>
    </w:p>
    <w:p w:rsidR="00D8256B" w:rsidRPr="001569B5" w:rsidRDefault="001569B5" w:rsidP="001569B5">
      <w:pPr>
        <w:spacing w:line="480" w:lineRule="auto"/>
        <w:jc w:val="center"/>
        <w:rPr>
          <w:rFonts w:eastAsia="Calibri"/>
          <w:b/>
          <w:sz w:val="28"/>
          <w:szCs w:val="28"/>
          <w:u w:val="single"/>
        </w:rPr>
      </w:pPr>
      <w:r w:rsidRPr="001569B5">
        <w:rPr>
          <w:rFonts w:eastAsia="Calibri"/>
          <w:b/>
          <w:sz w:val="28"/>
          <w:szCs w:val="28"/>
          <w:u w:val="single"/>
        </w:rPr>
        <w:t>Plaintiffs are Not Entitled to a Temporary Restraining Order</w:t>
      </w:r>
    </w:p>
    <w:p w:rsidR="0018242D" w:rsidRPr="0018242D" w:rsidRDefault="0018242D" w:rsidP="00B57C85">
      <w:pPr>
        <w:pStyle w:val="ListParagraph"/>
        <w:numPr>
          <w:ilvl w:val="0"/>
          <w:numId w:val="9"/>
        </w:numPr>
        <w:spacing w:line="480" w:lineRule="auto"/>
        <w:jc w:val="both"/>
        <w:rPr>
          <w:rFonts w:eastAsia="Calibri"/>
          <w:b/>
          <w:sz w:val="28"/>
          <w:szCs w:val="28"/>
        </w:rPr>
      </w:pPr>
      <w:r w:rsidRPr="0018242D">
        <w:rPr>
          <w:rFonts w:eastAsia="Calibri"/>
          <w:b/>
          <w:sz w:val="28"/>
          <w:szCs w:val="28"/>
          <w:u w:val="single"/>
        </w:rPr>
        <w:t>Standard for Issuance of a TRO</w:t>
      </w:r>
      <w:r w:rsidR="00541235">
        <w:rPr>
          <w:rFonts w:eastAsia="Calibri"/>
          <w:b/>
          <w:sz w:val="28"/>
          <w:szCs w:val="28"/>
          <w:u w:val="single"/>
        </w:rPr>
        <w:t>.</w:t>
      </w:r>
    </w:p>
    <w:p w:rsidR="0018242D" w:rsidRPr="0018242D" w:rsidRDefault="0018242D" w:rsidP="00B57C85">
      <w:pPr>
        <w:spacing w:line="480" w:lineRule="auto"/>
        <w:ind w:firstLine="720"/>
        <w:jc w:val="both"/>
        <w:rPr>
          <w:sz w:val="28"/>
          <w:szCs w:val="28"/>
        </w:rPr>
      </w:pPr>
      <w:r w:rsidRPr="0018242D">
        <w:rPr>
          <w:sz w:val="28"/>
          <w:szCs w:val="28"/>
        </w:rPr>
        <w:t>“The purpose of a TRO is to preserve the status quo before a preliminary injunction hearing may be held; its provisional remedial nature is designed merely to prevent irreparable loss of rights prior to judgment.” [</w:t>
      </w:r>
      <w:r w:rsidRPr="0018242D">
        <w:rPr>
          <w:i/>
          <w:iCs/>
          <w:sz w:val="28"/>
          <w:szCs w:val="28"/>
        </w:rPr>
        <w:t xml:space="preserve">Doe v. </w:t>
      </w:r>
      <w:proofErr w:type="spellStart"/>
      <w:r w:rsidRPr="0018242D">
        <w:rPr>
          <w:i/>
          <w:iCs/>
          <w:sz w:val="28"/>
          <w:szCs w:val="28"/>
        </w:rPr>
        <w:t>McAleenan</w:t>
      </w:r>
      <w:proofErr w:type="spellEnd"/>
      <w:r w:rsidRPr="0018242D">
        <w:rPr>
          <w:sz w:val="28"/>
          <w:szCs w:val="28"/>
        </w:rPr>
        <w:t xml:space="preserve">, 415 F. Supp. 3d 971, 976 (S.D. Cal. 2019), citing </w:t>
      </w:r>
      <w:r w:rsidRPr="0018242D">
        <w:rPr>
          <w:i/>
          <w:iCs/>
          <w:sz w:val="28"/>
          <w:szCs w:val="28"/>
        </w:rPr>
        <w:t>Granny Goose Foods, Inc. v. Brotherhood of Teamsters &amp; Auto Truck Drivers</w:t>
      </w:r>
      <w:r w:rsidRPr="0018242D">
        <w:rPr>
          <w:sz w:val="28"/>
          <w:szCs w:val="28"/>
        </w:rPr>
        <w:t xml:space="preserve">, 415 U.S. 423, 439 (1974).] “The standard for issuing a temporary restraining order is identical to the standard for issuing a preliminary injunction. </w:t>
      </w:r>
      <w:r w:rsidRPr="0018242D">
        <w:rPr>
          <w:i/>
          <w:iCs/>
          <w:sz w:val="28"/>
          <w:szCs w:val="28"/>
        </w:rPr>
        <w:t>Lockheed Missile &amp; Space Co., Inc. v. Hughes Aircraft Co.</w:t>
      </w:r>
      <w:r w:rsidRPr="0018242D">
        <w:rPr>
          <w:sz w:val="28"/>
          <w:szCs w:val="28"/>
        </w:rPr>
        <w:t>, 887 F. Supp. 1320, 1323 (N.D. Cal. 1995).” [</w:t>
      </w:r>
      <w:r w:rsidRPr="0018242D">
        <w:rPr>
          <w:i/>
          <w:iCs/>
          <w:sz w:val="28"/>
          <w:szCs w:val="28"/>
        </w:rPr>
        <w:t>Id.</w:t>
      </w:r>
      <w:r w:rsidRPr="0018242D">
        <w:rPr>
          <w:sz w:val="28"/>
          <w:szCs w:val="28"/>
        </w:rPr>
        <w:t>] “Injunctive relief is an ‘extraordinary remedy that may only be awarded upon a clear showing that the plaintiff is entitled to such relief.’” [</w:t>
      </w:r>
      <w:r w:rsidRPr="0018242D">
        <w:rPr>
          <w:i/>
          <w:iCs/>
          <w:sz w:val="28"/>
          <w:szCs w:val="28"/>
        </w:rPr>
        <w:t>Id.</w:t>
      </w:r>
      <w:r w:rsidRPr="0018242D">
        <w:rPr>
          <w:sz w:val="28"/>
          <w:szCs w:val="28"/>
        </w:rPr>
        <w:t xml:space="preserve">, quoting </w:t>
      </w:r>
      <w:proofErr w:type="gramStart"/>
      <w:r w:rsidRPr="0018242D">
        <w:rPr>
          <w:i/>
          <w:iCs/>
          <w:sz w:val="28"/>
          <w:szCs w:val="28"/>
        </w:rPr>
        <w:t>Winter</w:t>
      </w:r>
      <w:proofErr w:type="gramEnd"/>
      <w:r w:rsidRPr="0018242D">
        <w:rPr>
          <w:i/>
          <w:iCs/>
          <w:sz w:val="28"/>
          <w:szCs w:val="28"/>
        </w:rPr>
        <w:t xml:space="preserve"> v. NRDC, Inc.</w:t>
      </w:r>
      <w:r w:rsidRPr="0018242D">
        <w:rPr>
          <w:sz w:val="28"/>
          <w:szCs w:val="28"/>
        </w:rPr>
        <w:t>, 555 U.S. 7, 22 (2008).] The “clear showing” requirement is particularly strong when a party seeks a TRO. [</w:t>
      </w:r>
      <w:proofErr w:type="spellStart"/>
      <w:r w:rsidRPr="0018242D">
        <w:rPr>
          <w:i/>
          <w:iCs/>
          <w:sz w:val="28"/>
          <w:szCs w:val="28"/>
        </w:rPr>
        <w:t>Mazurek</w:t>
      </w:r>
      <w:proofErr w:type="spellEnd"/>
      <w:r w:rsidRPr="0018242D">
        <w:rPr>
          <w:i/>
          <w:iCs/>
          <w:sz w:val="28"/>
          <w:szCs w:val="28"/>
        </w:rPr>
        <w:t xml:space="preserve"> v. Armstrong</w:t>
      </w:r>
      <w:r w:rsidRPr="0018242D">
        <w:rPr>
          <w:sz w:val="28"/>
          <w:szCs w:val="28"/>
        </w:rPr>
        <w:t xml:space="preserve">, 520 U.S. 968, 972 (1997).] </w:t>
      </w:r>
    </w:p>
    <w:p w:rsidR="0018242D" w:rsidRPr="0018242D" w:rsidRDefault="0018242D" w:rsidP="00B57C85">
      <w:pPr>
        <w:spacing w:line="480" w:lineRule="auto"/>
        <w:ind w:firstLine="720"/>
        <w:jc w:val="both"/>
        <w:rPr>
          <w:rFonts w:eastAsia="Calibri"/>
          <w:b/>
          <w:sz w:val="28"/>
          <w:szCs w:val="28"/>
        </w:rPr>
      </w:pPr>
      <w:r w:rsidRPr="0018242D">
        <w:rPr>
          <w:sz w:val="28"/>
          <w:szCs w:val="28"/>
        </w:rPr>
        <w:t xml:space="preserve">In order to obtain a TRO, Plaintiffs must satisfy the four-part or traditional test under </w:t>
      </w:r>
      <w:proofErr w:type="gramStart"/>
      <w:r w:rsidRPr="0018242D">
        <w:rPr>
          <w:i/>
          <w:iCs/>
          <w:sz w:val="28"/>
          <w:szCs w:val="28"/>
        </w:rPr>
        <w:t>Winter</w:t>
      </w:r>
      <w:proofErr w:type="gramEnd"/>
      <w:r w:rsidRPr="0018242D">
        <w:rPr>
          <w:sz w:val="28"/>
          <w:szCs w:val="28"/>
        </w:rPr>
        <w:t xml:space="preserve"> by a clear showing. Plaintiffs “must establish that [it] is likely to succeed on the merits, that [it] is likely to suffer irreparable harm in the absence of preliminary relief, that the balance of equities tips in [its] favor, and that an injunction is in the public interest.” [</w:t>
      </w:r>
      <w:r w:rsidRPr="0018242D">
        <w:rPr>
          <w:i/>
          <w:iCs/>
          <w:sz w:val="28"/>
          <w:szCs w:val="28"/>
        </w:rPr>
        <w:t xml:space="preserve">Am. Trucking </w:t>
      </w:r>
      <w:proofErr w:type="spellStart"/>
      <w:r w:rsidRPr="0018242D">
        <w:rPr>
          <w:i/>
          <w:iCs/>
          <w:sz w:val="28"/>
          <w:szCs w:val="28"/>
        </w:rPr>
        <w:t>Ass'ns</w:t>
      </w:r>
      <w:proofErr w:type="spellEnd"/>
      <w:r w:rsidRPr="0018242D">
        <w:rPr>
          <w:i/>
          <w:iCs/>
          <w:sz w:val="28"/>
          <w:szCs w:val="28"/>
        </w:rPr>
        <w:t xml:space="preserve"> v. City of Los Angeles</w:t>
      </w:r>
      <w:r w:rsidRPr="0018242D">
        <w:rPr>
          <w:sz w:val="28"/>
          <w:szCs w:val="28"/>
        </w:rPr>
        <w:t xml:space="preserve">, 559 F.3d 1046, 1052 (9th Cir. 2009), quoting </w:t>
      </w:r>
      <w:proofErr w:type="gramStart"/>
      <w:r w:rsidRPr="0018242D">
        <w:rPr>
          <w:i/>
          <w:iCs/>
          <w:sz w:val="28"/>
          <w:szCs w:val="28"/>
        </w:rPr>
        <w:t>Winter</w:t>
      </w:r>
      <w:proofErr w:type="gramEnd"/>
      <w:r w:rsidRPr="0018242D">
        <w:rPr>
          <w:sz w:val="28"/>
          <w:szCs w:val="28"/>
        </w:rPr>
        <w:t xml:space="preserve">, supra, 555 U.S. at 20; </w:t>
      </w:r>
      <w:r w:rsidRPr="0018242D">
        <w:rPr>
          <w:i/>
          <w:iCs/>
          <w:sz w:val="28"/>
          <w:szCs w:val="28"/>
        </w:rPr>
        <w:t>see also</w:t>
      </w:r>
      <w:r w:rsidRPr="0018242D">
        <w:rPr>
          <w:sz w:val="28"/>
          <w:szCs w:val="28"/>
        </w:rPr>
        <w:t xml:space="preserve">, Fed. R. Civ. P. 65(b).] </w:t>
      </w:r>
    </w:p>
    <w:p w:rsidR="0018242D" w:rsidRPr="0018242D" w:rsidRDefault="0018242D" w:rsidP="00B57C85">
      <w:pPr>
        <w:pStyle w:val="ListParagraph"/>
        <w:numPr>
          <w:ilvl w:val="0"/>
          <w:numId w:val="9"/>
        </w:numPr>
        <w:spacing w:line="480" w:lineRule="auto"/>
        <w:jc w:val="both"/>
        <w:rPr>
          <w:rFonts w:eastAsia="Calibri"/>
          <w:b/>
          <w:sz w:val="28"/>
          <w:szCs w:val="28"/>
          <w:u w:val="single"/>
        </w:rPr>
      </w:pPr>
      <w:r w:rsidRPr="0018242D">
        <w:rPr>
          <w:rFonts w:eastAsia="Calibri"/>
          <w:b/>
          <w:sz w:val="28"/>
          <w:szCs w:val="28"/>
          <w:u w:val="single"/>
        </w:rPr>
        <w:lastRenderedPageBreak/>
        <w:t>It is Unlikely that Plaintiffs Will Succeed on the Merits</w:t>
      </w:r>
      <w:r w:rsidR="00541235">
        <w:rPr>
          <w:rFonts w:eastAsia="Calibri"/>
          <w:b/>
          <w:sz w:val="28"/>
          <w:szCs w:val="28"/>
          <w:u w:val="single"/>
        </w:rPr>
        <w:t>.</w:t>
      </w:r>
    </w:p>
    <w:p w:rsidR="00541235" w:rsidRDefault="0018242D" w:rsidP="00541235">
      <w:pPr>
        <w:spacing w:line="480" w:lineRule="auto"/>
        <w:ind w:firstLine="360"/>
        <w:jc w:val="both"/>
        <w:rPr>
          <w:sz w:val="28"/>
          <w:szCs w:val="28"/>
        </w:rPr>
      </w:pPr>
      <w:r w:rsidRPr="0018242D">
        <w:rPr>
          <w:sz w:val="28"/>
          <w:szCs w:val="28"/>
        </w:rPr>
        <w:t xml:space="preserve">“The first factor under </w:t>
      </w:r>
      <w:proofErr w:type="gramStart"/>
      <w:r w:rsidRPr="0018242D">
        <w:rPr>
          <w:i/>
          <w:iCs/>
          <w:sz w:val="28"/>
          <w:szCs w:val="28"/>
        </w:rPr>
        <w:t>Winter</w:t>
      </w:r>
      <w:proofErr w:type="gramEnd"/>
      <w:r w:rsidRPr="0018242D">
        <w:rPr>
          <w:i/>
          <w:iCs/>
          <w:sz w:val="28"/>
          <w:szCs w:val="28"/>
        </w:rPr>
        <w:t xml:space="preserve"> </w:t>
      </w:r>
      <w:r w:rsidRPr="0018242D">
        <w:rPr>
          <w:sz w:val="28"/>
          <w:szCs w:val="28"/>
        </w:rPr>
        <w:t>is the most important – likely success on the merits.” [</w:t>
      </w:r>
      <w:r w:rsidRPr="0018242D">
        <w:rPr>
          <w:i/>
          <w:iCs/>
          <w:sz w:val="28"/>
          <w:szCs w:val="28"/>
        </w:rPr>
        <w:t>Garcia v. Google, Inc.</w:t>
      </w:r>
      <w:r w:rsidRPr="0018242D">
        <w:rPr>
          <w:sz w:val="28"/>
          <w:szCs w:val="28"/>
        </w:rPr>
        <w:t xml:space="preserve">, 786 F.3d 733, 740 (9th Cir. 2015).] A TRO is an “extraordinary remedy that may only be awarded upon a </w:t>
      </w:r>
      <w:r w:rsidRPr="0018242D">
        <w:rPr>
          <w:i/>
          <w:iCs/>
          <w:sz w:val="28"/>
          <w:szCs w:val="28"/>
        </w:rPr>
        <w:t xml:space="preserve">clear showing </w:t>
      </w:r>
      <w:r w:rsidRPr="0018242D">
        <w:rPr>
          <w:sz w:val="28"/>
          <w:szCs w:val="28"/>
        </w:rPr>
        <w:t>that the plaintiff is entitled to such relief.” [</w:t>
      </w:r>
      <w:r w:rsidRPr="0018242D">
        <w:rPr>
          <w:i/>
          <w:iCs/>
          <w:sz w:val="28"/>
          <w:szCs w:val="28"/>
        </w:rPr>
        <w:t>Winter</w:t>
      </w:r>
      <w:r w:rsidRPr="0018242D">
        <w:rPr>
          <w:sz w:val="28"/>
          <w:szCs w:val="28"/>
        </w:rPr>
        <w:t xml:space="preserve">, supra, 555 U.S. at 22 (italics added).] Plaintiffs have not satisfied this heavy burden, and in fact it is unlikely that Plaintiffs’ claims will succeed on the merits. </w:t>
      </w:r>
    </w:p>
    <w:p w:rsidR="00541235" w:rsidRPr="0018242D" w:rsidRDefault="0018242D" w:rsidP="00541235">
      <w:pPr>
        <w:spacing w:line="480" w:lineRule="auto"/>
        <w:ind w:firstLine="360"/>
        <w:jc w:val="both"/>
        <w:rPr>
          <w:sz w:val="28"/>
          <w:szCs w:val="28"/>
        </w:rPr>
      </w:pPr>
      <w:r w:rsidRPr="0018242D">
        <w:rPr>
          <w:sz w:val="28"/>
          <w:szCs w:val="28"/>
        </w:rPr>
        <w:t>In the unlikely event that Plaintiffs have established a likelihood of success, the County will show that its affirmative defense will succeed. [</w:t>
      </w:r>
      <w:r w:rsidRPr="0018242D">
        <w:rPr>
          <w:i/>
          <w:iCs/>
          <w:sz w:val="28"/>
          <w:szCs w:val="28"/>
        </w:rPr>
        <w:t>Perfect 10, Inc. v. Amazon</w:t>
      </w:r>
      <w:r w:rsidRPr="0018242D">
        <w:rPr>
          <w:sz w:val="28"/>
          <w:szCs w:val="28"/>
        </w:rPr>
        <w:t>.</w:t>
      </w:r>
      <w:r w:rsidRPr="0018242D">
        <w:rPr>
          <w:i/>
          <w:iCs/>
          <w:sz w:val="28"/>
          <w:szCs w:val="28"/>
        </w:rPr>
        <w:t>com, Inc.</w:t>
      </w:r>
      <w:r w:rsidRPr="0018242D">
        <w:rPr>
          <w:sz w:val="28"/>
          <w:szCs w:val="28"/>
        </w:rPr>
        <w:t xml:space="preserve"> 508 F.3d 1146, 1158 (9th Cir. 2007).]</w:t>
      </w:r>
    </w:p>
    <w:p w:rsidR="0018242D" w:rsidRPr="0018242D" w:rsidRDefault="0018242D" w:rsidP="00B57C85">
      <w:pPr>
        <w:pStyle w:val="ListParagraph"/>
        <w:numPr>
          <w:ilvl w:val="0"/>
          <w:numId w:val="10"/>
        </w:numPr>
        <w:spacing w:line="480" w:lineRule="auto"/>
        <w:jc w:val="both"/>
        <w:rPr>
          <w:rFonts w:eastAsia="Calibri"/>
          <w:b/>
          <w:bCs/>
          <w:sz w:val="28"/>
          <w:szCs w:val="28"/>
          <w:u w:val="single"/>
        </w:rPr>
      </w:pPr>
      <w:r w:rsidRPr="0018242D">
        <w:rPr>
          <w:rFonts w:eastAsia="Calibri"/>
          <w:b/>
          <w:bCs/>
          <w:sz w:val="28"/>
          <w:szCs w:val="28"/>
          <w:u w:val="single"/>
        </w:rPr>
        <w:t>The Free Exercise Clause and the California Constitution Have Not Been Violated</w:t>
      </w:r>
      <w:r w:rsidR="00541235">
        <w:rPr>
          <w:rFonts w:eastAsia="Calibri"/>
          <w:b/>
          <w:bCs/>
          <w:sz w:val="28"/>
          <w:szCs w:val="28"/>
          <w:u w:val="single"/>
        </w:rPr>
        <w:t>.</w:t>
      </w:r>
      <w:r w:rsidRPr="0018242D">
        <w:rPr>
          <w:rFonts w:eastAsia="Calibri"/>
          <w:b/>
          <w:bCs/>
          <w:sz w:val="28"/>
          <w:szCs w:val="28"/>
          <w:u w:val="single"/>
        </w:rPr>
        <w:t xml:space="preserve"> </w:t>
      </w:r>
    </w:p>
    <w:p w:rsidR="0018242D" w:rsidRPr="0018242D" w:rsidRDefault="0018242D" w:rsidP="00541235">
      <w:pPr>
        <w:spacing w:line="480" w:lineRule="auto"/>
        <w:ind w:firstLine="720"/>
        <w:jc w:val="both"/>
        <w:rPr>
          <w:rFonts w:eastAsia="Calibri"/>
          <w:sz w:val="28"/>
          <w:szCs w:val="28"/>
        </w:rPr>
      </w:pPr>
      <w:r w:rsidRPr="0018242D">
        <w:rPr>
          <w:rFonts w:eastAsia="Calibri"/>
          <w:sz w:val="28"/>
          <w:szCs w:val="28"/>
        </w:rPr>
        <w:t xml:space="preserve">Plaintiffs argue that the County’s Orders </w:t>
      </w:r>
      <w:proofErr w:type="gramStart"/>
      <w:r w:rsidRPr="0018242D">
        <w:rPr>
          <w:rFonts w:eastAsia="Calibri"/>
          <w:sz w:val="28"/>
          <w:szCs w:val="28"/>
        </w:rPr>
        <w:t>Against</w:t>
      </w:r>
      <w:proofErr w:type="gramEnd"/>
      <w:r w:rsidRPr="0018242D">
        <w:rPr>
          <w:rFonts w:eastAsia="Calibri"/>
          <w:sz w:val="28"/>
          <w:szCs w:val="28"/>
        </w:rPr>
        <w:t xml:space="preserve"> Public Gatherings are “neither neutral nor of general application.” [</w:t>
      </w:r>
      <w:r w:rsidR="00541235">
        <w:rPr>
          <w:rFonts w:eastAsia="Calibri"/>
          <w:i/>
          <w:sz w:val="28"/>
          <w:szCs w:val="28"/>
        </w:rPr>
        <w:t xml:space="preserve">See </w:t>
      </w:r>
      <w:r w:rsidR="001624FB">
        <w:rPr>
          <w:rFonts w:eastAsia="Calibri"/>
          <w:sz w:val="28"/>
          <w:szCs w:val="28"/>
        </w:rPr>
        <w:t xml:space="preserve">Doc. 8, p. 10, line </w:t>
      </w:r>
      <w:r w:rsidR="00541235">
        <w:rPr>
          <w:rFonts w:eastAsia="Calibri"/>
          <w:sz w:val="28"/>
          <w:szCs w:val="28"/>
        </w:rPr>
        <w:t>16.]</w:t>
      </w:r>
      <w:r w:rsidRPr="0018242D">
        <w:rPr>
          <w:rFonts w:eastAsia="Calibri"/>
          <w:sz w:val="28"/>
          <w:szCs w:val="28"/>
        </w:rPr>
        <w:t xml:space="preserve"> Plaintiffs further argue that the Orders </w:t>
      </w:r>
      <w:proofErr w:type="gramStart"/>
      <w:r w:rsidRPr="0018242D">
        <w:rPr>
          <w:rFonts w:eastAsia="Calibri"/>
          <w:sz w:val="28"/>
          <w:szCs w:val="28"/>
        </w:rPr>
        <w:t>Against</w:t>
      </w:r>
      <w:proofErr w:type="gramEnd"/>
      <w:r w:rsidRPr="0018242D">
        <w:rPr>
          <w:rFonts w:eastAsia="Calibri"/>
          <w:sz w:val="28"/>
          <w:szCs w:val="28"/>
        </w:rPr>
        <w:t xml:space="preserve"> Public Gatherings target religious and “faith-based” services. [Doc. 8, p.10, line 17-18.] Plaintiffs’ arguments, however, fail because the County’s Orders </w:t>
      </w:r>
      <w:proofErr w:type="gramStart"/>
      <w:r w:rsidRPr="0018242D">
        <w:rPr>
          <w:rFonts w:eastAsia="Calibri"/>
          <w:sz w:val="28"/>
          <w:szCs w:val="28"/>
        </w:rPr>
        <w:t>Against</w:t>
      </w:r>
      <w:proofErr w:type="gramEnd"/>
      <w:r w:rsidRPr="0018242D">
        <w:rPr>
          <w:rFonts w:eastAsia="Calibri"/>
          <w:sz w:val="28"/>
          <w:szCs w:val="28"/>
        </w:rPr>
        <w:t xml:space="preserve"> Public Gatherings are valid and neutral law of general applicability that do not target Plaintiffs’ exercise of faith. </w:t>
      </w:r>
    </w:p>
    <w:p w:rsidR="0018242D" w:rsidRPr="0018242D" w:rsidRDefault="0018242D" w:rsidP="00B57C85">
      <w:pPr>
        <w:spacing w:line="480" w:lineRule="auto"/>
        <w:ind w:firstLine="720"/>
        <w:jc w:val="both"/>
        <w:rPr>
          <w:color w:val="353538"/>
          <w:sz w:val="28"/>
          <w:szCs w:val="28"/>
        </w:rPr>
      </w:pPr>
      <w:r w:rsidRPr="0018242D">
        <w:rPr>
          <w:color w:val="353538"/>
          <w:sz w:val="28"/>
          <w:szCs w:val="28"/>
        </w:rPr>
        <w:t>“The Free Exercise Clause, applicable to the states through the Fourteenth Amendment, provides that ‘Congress shall make no law . . . prohibiting the free exercise [of religion],’ U.S. Const., amend. I.” [</w:t>
      </w:r>
      <w:proofErr w:type="spellStart"/>
      <w:r w:rsidRPr="0018242D">
        <w:rPr>
          <w:i/>
          <w:iCs/>
          <w:color w:val="353538"/>
          <w:sz w:val="28"/>
          <w:szCs w:val="28"/>
        </w:rPr>
        <w:t>Stormans</w:t>
      </w:r>
      <w:proofErr w:type="spellEnd"/>
      <w:r w:rsidRPr="0018242D">
        <w:rPr>
          <w:i/>
          <w:iCs/>
          <w:color w:val="353538"/>
          <w:sz w:val="28"/>
          <w:szCs w:val="28"/>
        </w:rPr>
        <w:t xml:space="preserve">, Inc. v. </w:t>
      </w:r>
      <w:proofErr w:type="spellStart"/>
      <w:r w:rsidRPr="0018242D">
        <w:rPr>
          <w:i/>
          <w:iCs/>
          <w:color w:val="353538"/>
          <w:sz w:val="28"/>
          <w:szCs w:val="28"/>
        </w:rPr>
        <w:t>Selecky</w:t>
      </w:r>
      <w:proofErr w:type="spellEnd"/>
      <w:r w:rsidRPr="0018242D">
        <w:rPr>
          <w:color w:val="353538"/>
          <w:sz w:val="28"/>
          <w:szCs w:val="28"/>
        </w:rPr>
        <w:t>, 586 F.3d 1109, 1127 (9th Cir. 2009) (</w:t>
      </w:r>
      <w:proofErr w:type="spellStart"/>
      <w:r w:rsidRPr="0018242D">
        <w:rPr>
          <w:i/>
          <w:iCs/>
          <w:color w:val="353538"/>
          <w:sz w:val="28"/>
          <w:szCs w:val="28"/>
        </w:rPr>
        <w:t>Selecky</w:t>
      </w:r>
      <w:proofErr w:type="spellEnd"/>
      <w:r w:rsidRPr="0018242D">
        <w:rPr>
          <w:color w:val="353538"/>
          <w:sz w:val="28"/>
          <w:szCs w:val="28"/>
        </w:rPr>
        <w:t xml:space="preserve">) (internal citation omitted).] “The right to freely exercise one's religion, </w:t>
      </w:r>
      <w:r w:rsidRPr="0018242D">
        <w:rPr>
          <w:color w:val="353538"/>
          <w:sz w:val="28"/>
          <w:szCs w:val="28"/>
        </w:rPr>
        <w:lastRenderedPageBreak/>
        <w:t>however, ‘does not relieve an individual of the obligation to comply with a valid and neutral law of general applicability on the ground that the law proscribes (or prescribes) conduct that his religion prescribes (or proscribes).” [</w:t>
      </w:r>
      <w:r w:rsidRPr="0018242D">
        <w:rPr>
          <w:i/>
          <w:iCs/>
          <w:color w:val="353538"/>
          <w:sz w:val="28"/>
          <w:szCs w:val="28"/>
        </w:rPr>
        <w:t>Id.</w:t>
      </w:r>
      <w:r w:rsidRPr="0018242D">
        <w:rPr>
          <w:color w:val="353538"/>
          <w:sz w:val="28"/>
          <w:szCs w:val="28"/>
        </w:rPr>
        <w:t xml:space="preserve">, quoting </w:t>
      </w:r>
      <w:r w:rsidRPr="0018242D">
        <w:rPr>
          <w:i/>
          <w:iCs/>
          <w:color w:val="353538"/>
          <w:sz w:val="28"/>
          <w:szCs w:val="28"/>
        </w:rPr>
        <w:t xml:space="preserve">Employment Div., Dep't of Human Res. of Or. v. Smith, 494 U.S. 872, 879 </w:t>
      </w:r>
      <w:r w:rsidRPr="0018242D">
        <w:rPr>
          <w:color w:val="353538"/>
          <w:sz w:val="28"/>
          <w:szCs w:val="28"/>
        </w:rPr>
        <w:t>(1990) (</w:t>
      </w:r>
      <w:r w:rsidRPr="0018242D">
        <w:rPr>
          <w:i/>
          <w:iCs/>
          <w:color w:val="353538"/>
          <w:sz w:val="28"/>
          <w:szCs w:val="28"/>
        </w:rPr>
        <w:t>Smith</w:t>
      </w:r>
      <w:r w:rsidRPr="0018242D">
        <w:rPr>
          <w:color w:val="353538"/>
          <w:sz w:val="28"/>
          <w:szCs w:val="28"/>
        </w:rPr>
        <w:t xml:space="preserve">) (internal quotation omitted).] </w:t>
      </w:r>
    </w:p>
    <w:p w:rsidR="0018242D" w:rsidRPr="0018242D" w:rsidRDefault="0018242D" w:rsidP="00B57C85">
      <w:pPr>
        <w:spacing w:line="480" w:lineRule="auto"/>
        <w:jc w:val="both"/>
        <w:rPr>
          <w:rFonts w:eastAsia="Calibri"/>
          <w:sz w:val="28"/>
          <w:szCs w:val="28"/>
        </w:rPr>
      </w:pPr>
      <w:r w:rsidRPr="0018242D">
        <w:rPr>
          <w:rFonts w:eastAsia="Calibri"/>
          <w:sz w:val="28"/>
          <w:szCs w:val="28"/>
        </w:rPr>
        <w:tab/>
        <w:t>Indeed, the right to free exercise of chosen form of religion is not absolute, in that conduct remains subject to regulation for protection of society. [</w:t>
      </w:r>
      <w:r w:rsidRPr="0018242D">
        <w:rPr>
          <w:rFonts w:eastAsia="Calibri"/>
          <w:i/>
          <w:iCs/>
          <w:sz w:val="28"/>
          <w:szCs w:val="28"/>
        </w:rPr>
        <w:t>Cantwell v. State of Connecticut</w:t>
      </w:r>
      <w:r w:rsidRPr="0018242D">
        <w:rPr>
          <w:rFonts w:eastAsia="Calibri"/>
          <w:sz w:val="28"/>
          <w:szCs w:val="28"/>
        </w:rPr>
        <w:t xml:space="preserve">, 310 U.S. 296 (1940).] </w:t>
      </w:r>
    </w:p>
    <w:p w:rsidR="0018242D" w:rsidRPr="0018242D" w:rsidRDefault="0018242D" w:rsidP="00B57C85">
      <w:pPr>
        <w:spacing w:line="480" w:lineRule="auto"/>
        <w:jc w:val="both"/>
        <w:rPr>
          <w:rFonts w:eastAsia="Calibri"/>
          <w:sz w:val="28"/>
          <w:szCs w:val="28"/>
        </w:rPr>
      </w:pPr>
      <w:r w:rsidRPr="0018242D">
        <w:rPr>
          <w:rFonts w:eastAsia="Calibri"/>
          <w:sz w:val="28"/>
          <w:szCs w:val="28"/>
        </w:rPr>
        <w:tab/>
        <w:t>“Underlying the Supreme Court's jurisprudence is the principle that the Free Exercise Clause ‘embraces two concepts – freedom to believe and freedom to act. The first is absolute but, in the nature of things, the second cannot be. Conduct remains subject to regulation for the protection of society.’” [</w:t>
      </w:r>
      <w:proofErr w:type="spellStart"/>
      <w:r w:rsidRPr="0018242D">
        <w:rPr>
          <w:rFonts w:eastAsia="Calibri"/>
          <w:i/>
          <w:iCs/>
          <w:sz w:val="28"/>
          <w:szCs w:val="28"/>
        </w:rPr>
        <w:t>Selecky</w:t>
      </w:r>
      <w:proofErr w:type="spellEnd"/>
      <w:r w:rsidRPr="0018242D">
        <w:rPr>
          <w:rFonts w:eastAsia="Calibri"/>
          <w:sz w:val="28"/>
          <w:szCs w:val="28"/>
        </w:rPr>
        <w:t xml:space="preserve">, at 1128, quoting </w:t>
      </w:r>
      <w:r w:rsidRPr="0018242D">
        <w:rPr>
          <w:rFonts w:eastAsia="Calibri"/>
          <w:i/>
          <w:iCs/>
          <w:sz w:val="28"/>
          <w:szCs w:val="28"/>
        </w:rPr>
        <w:t>Cantwell v. State of Conn.</w:t>
      </w:r>
      <w:r w:rsidRPr="0018242D">
        <w:rPr>
          <w:rFonts w:eastAsia="Calibri"/>
          <w:sz w:val="28"/>
          <w:szCs w:val="28"/>
        </w:rPr>
        <w:t>, supra at 303-304 (underscore added).] “Under the governing standard, ‘a law that is neutral and of general applicability need not be justified by a compelling governmental interest even if the law has the incidental effect of burdening a particular religious practice.’” [</w:t>
      </w:r>
      <w:r w:rsidRPr="0018242D">
        <w:rPr>
          <w:rFonts w:eastAsia="Calibri"/>
          <w:i/>
          <w:iCs/>
          <w:sz w:val="28"/>
          <w:szCs w:val="28"/>
        </w:rPr>
        <w:t xml:space="preserve">Id. </w:t>
      </w:r>
      <w:r w:rsidRPr="0018242D">
        <w:rPr>
          <w:rFonts w:eastAsia="Calibri"/>
          <w:sz w:val="28"/>
          <w:szCs w:val="28"/>
        </w:rPr>
        <w:t xml:space="preserve">at 1127-1128, quoting </w:t>
      </w:r>
      <w:r w:rsidRPr="0018242D">
        <w:rPr>
          <w:rFonts w:eastAsia="Calibri"/>
          <w:i/>
          <w:iCs/>
          <w:sz w:val="28"/>
          <w:szCs w:val="28"/>
        </w:rPr>
        <w:t xml:space="preserve">Church of the </w:t>
      </w:r>
      <w:proofErr w:type="spellStart"/>
      <w:r w:rsidRPr="0018242D">
        <w:rPr>
          <w:rFonts w:eastAsia="Calibri"/>
          <w:i/>
          <w:iCs/>
          <w:sz w:val="28"/>
          <w:szCs w:val="28"/>
        </w:rPr>
        <w:t>Lukumi</w:t>
      </w:r>
      <w:proofErr w:type="spellEnd"/>
      <w:r w:rsidRPr="0018242D">
        <w:rPr>
          <w:rFonts w:eastAsia="Calibri"/>
          <w:i/>
          <w:iCs/>
          <w:sz w:val="28"/>
          <w:szCs w:val="28"/>
        </w:rPr>
        <w:t xml:space="preserve"> </w:t>
      </w:r>
      <w:proofErr w:type="spellStart"/>
      <w:r w:rsidRPr="0018242D">
        <w:rPr>
          <w:rFonts w:eastAsia="Calibri"/>
          <w:i/>
          <w:iCs/>
          <w:sz w:val="28"/>
          <w:szCs w:val="28"/>
        </w:rPr>
        <w:t>Babalu</w:t>
      </w:r>
      <w:proofErr w:type="spellEnd"/>
      <w:r w:rsidRPr="0018242D">
        <w:rPr>
          <w:rFonts w:eastAsia="Calibri"/>
          <w:i/>
          <w:iCs/>
          <w:sz w:val="28"/>
          <w:szCs w:val="28"/>
        </w:rPr>
        <w:t xml:space="preserve"> Aye, Inc. v. City of Hialeah</w:t>
      </w:r>
      <w:r w:rsidRPr="0018242D">
        <w:rPr>
          <w:rFonts w:eastAsia="Calibri"/>
          <w:sz w:val="28"/>
          <w:szCs w:val="28"/>
        </w:rPr>
        <w:t>, 508 U.S. 520, 53 (1993) (</w:t>
      </w:r>
      <w:proofErr w:type="spellStart"/>
      <w:r w:rsidRPr="0018242D">
        <w:rPr>
          <w:rFonts w:eastAsia="Calibri"/>
          <w:i/>
          <w:iCs/>
          <w:sz w:val="28"/>
          <w:szCs w:val="28"/>
        </w:rPr>
        <w:t>Lukumi</w:t>
      </w:r>
      <w:proofErr w:type="spellEnd"/>
      <w:r w:rsidRPr="0018242D">
        <w:rPr>
          <w:rFonts w:eastAsia="Calibri"/>
          <w:sz w:val="28"/>
          <w:szCs w:val="28"/>
        </w:rPr>
        <w:t xml:space="preserve">).] </w:t>
      </w:r>
    </w:p>
    <w:p w:rsidR="0018242D" w:rsidRPr="0018242D" w:rsidRDefault="0018242D" w:rsidP="00B57C85">
      <w:pPr>
        <w:spacing w:line="480" w:lineRule="auto"/>
        <w:ind w:firstLine="720"/>
        <w:jc w:val="both"/>
        <w:rPr>
          <w:rFonts w:eastAsia="Calibri"/>
          <w:sz w:val="28"/>
          <w:szCs w:val="28"/>
        </w:rPr>
      </w:pPr>
      <w:r w:rsidRPr="0018242D">
        <w:rPr>
          <w:rFonts w:eastAsia="Calibri"/>
          <w:sz w:val="28"/>
          <w:szCs w:val="28"/>
        </w:rPr>
        <w:t>“In assessing neutrality and general applicability, courts evaluate both ‘the text of the challenged law as well as the effect . . . in its real operation.’” [</w:t>
      </w:r>
      <w:r w:rsidRPr="0018242D">
        <w:rPr>
          <w:rFonts w:eastAsia="Calibri"/>
          <w:i/>
          <w:iCs/>
          <w:sz w:val="28"/>
          <w:szCs w:val="28"/>
        </w:rPr>
        <w:t>Parents for Privacy v. Barr</w:t>
      </w:r>
      <w:r w:rsidRPr="0018242D">
        <w:rPr>
          <w:rFonts w:eastAsia="Calibri"/>
          <w:sz w:val="28"/>
          <w:szCs w:val="28"/>
        </w:rPr>
        <w:t>, 949 F.3d 1210, 1234 (9th Cir. 2020) (</w:t>
      </w:r>
      <w:r w:rsidRPr="0018242D">
        <w:rPr>
          <w:rFonts w:eastAsia="Calibri"/>
          <w:i/>
          <w:iCs/>
          <w:sz w:val="28"/>
          <w:szCs w:val="28"/>
        </w:rPr>
        <w:t>Parents for Privacy</w:t>
      </w:r>
      <w:r w:rsidRPr="0018242D">
        <w:rPr>
          <w:rFonts w:eastAsia="Calibri"/>
          <w:sz w:val="28"/>
          <w:szCs w:val="28"/>
        </w:rPr>
        <w:t xml:space="preserve">), quoting </w:t>
      </w:r>
      <w:proofErr w:type="spellStart"/>
      <w:r w:rsidRPr="0018242D">
        <w:rPr>
          <w:rFonts w:eastAsia="Calibri"/>
          <w:i/>
          <w:iCs/>
          <w:sz w:val="28"/>
          <w:szCs w:val="28"/>
        </w:rPr>
        <w:t>Selecky</w:t>
      </w:r>
      <w:proofErr w:type="spellEnd"/>
      <w:r w:rsidRPr="0018242D">
        <w:rPr>
          <w:rFonts w:eastAsia="Calibri"/>
          <w:sz w:val="28"/>
          <w:szCs w:val="28"/>
        </w:rPr>
        <w:t>, supra, 794 F.3d at 1076 (ellipsis in original).] “[T]he two tests for whether a law is neutral and generally applicable focus on whether a law specifically targets or singles out religion.” [</w:t>
      </w:r>
      <w:r w:rsidRPr="0018242D">
        <w:rPr>
          <w:rFonts w:eastAsia="Calibri"/>
          <w:i/>
          <w:iCs/>
          <w:sz w:val="28"/>
          <w:szCs w:val="28"/>
        </w:rPr>
        <w:t xml:space="preserve">Id. </w:t>
      </w:r>
      <w:r w:rsidRPr="0018242D">
        <w:rPr>
          <w:rFonts w:eastAsia="Calibri"/>
          <w:sz w:val="28"/>
          <w:szCs w:val="28"/>
        </w:rPr>
        <w:t>at 1234-</w:t>
      </w:r>
      <w:r w:rsidRPr="0018242D">
        <w:rPr>
          <w:rFonts w:eastAsia="Calibri"/>
          <w:sz w:val="28"/>
          <w:szCs w:val="28"/>
        </w:rPr>
        <w:lastRenderedPageBreak/>
        <w:t xml:space="preserve">1235.] The County’s challenged Orders </w:t>
      </w:r>
      <w:proofErr w:type="gramStart"/>
      <w:r w:rsidRPr="0018242D">
        <w:rPr>
          <w:rFonts w:eastAsia="Calibri"/>
          <w:sz w:val="28"/>
          <w:szCs w:val="28"/>
        </w:rPr>
        <w:t>Against</w:t>
      </w:r>
      <w:proofErr w:type="gramEnd"/>
      <w:r w:rsidRPr="0018242D">
        <w:rPr>
          <w:rFonts w:eastAsia="Calibri"/>
          <w:sz w:val="28"/>
          <w:szCs w:val="28"/>
        </w:rPr>
        <w:t xml:space="preserve"> Public Gatherings does neither of those things.  </w:t>
      </w:r>
    </w:p>
    <w:p w:rsidR="0018242D" w:rsidRPr="0018242D" w:rsidRDefault="0018242D" w:rsidP="00E05D66">
      <w:pPr>
        <w:spacing w:line="480" w:lineRule="auto"/>
        <w:ind w:firstLine="720"/>
        <w:jc w:val="both"/>
        <w:rPr>
          <w:rFonts w:eastAsia="Calibri"/>
          <w:sz w:val="28"/>
          <w:szCs w:val="28"/>
        </w:rPr>
      </w:pPr>
      <w:r w:rsidRPr="0018242D">
        <w:rPr>
          <w:rFonts w:eastAsia="Calibri"/>
          <w:sz w:val="28"/>
          <w:szCs w:val="28"/>
        </w:rPr>
        <w:t xml:space="preserve">The first test asks whether the law is “neutral” with respect to religion. “If the object of a law is to infringe upon or restrict practices </w:t>
      </w:r>
      <w:r w:rsidRPr="0018242D">
        <w:rPr>
          <w:rFonts w:eastAsia="Calibri"/>
          <w:i/>
          <w:iCs/>
          <w:sz w:val="28"/>
          <w:szCs w:val="28"/>
        </w:rPr>
        <w:t xml:space="preserve">because of </w:t>
      </w:r>
      <w:r w:rsidRPr="0018242D">
        <w:rPr>
          <w:rFonts w:eastAsia="Calibri"/>
          <w:sz w:val="28"/>
          <w:szCs w:val="28"/>
        </w:rPr>
        <w:t>their religious motivation, the law is not neutral.” [</w:t>
      </w:r>
      <w:r w:rsidRPr="0018242D">
        <w:rPr>
          <w:rFonts w:eastAsia="Calibri"/>
          <w:i/>
          <w:iCs/>
          <w:sz w:val="28"/>
          <w:szCs w:val="28"/>
        </w:rPr>
        <w:t>Parents for Privacy</w:t>
      </w:r>
      <w:r w:rsidRPr="0018242D">
        <w:rPr>
          <w:rFonts w:eastAsia="Calibri"/>
          <w:sz w:val="28"/>
          <w:szCs w:val="28"/>
        </w:rPr>
        <w:t xml:space="preserve">, supra, 949 F.3d at 1235 (internal citation omitted).] Here, Plaintiffs neither argue nor presents any evidence that the County issued its emergency public health orders out of any desire or intent to target Plaintiffs gatherings (or religious gatherings in general) because of the gatherings’ religious nature or motivation. The County’s stay-at-home order applies generally countywide, and has required the temporary closure of a wide-range of businesses, events, and areas where people gather, without respect to the secular or religious nature of any such establishment or gathering, including, but not limited to, stadiums, casinos and restaurants. </w:t>
      </w:r>
    </w:p>
    <w:p w:rsidR="0018242D" w:rsidRPr="0018242D" w:rsidRDefault="0018242D" w:rsidP="00B57C85">
      <w:pPr>
        <w:spacing w:line="480" w:lineRule="auto"/>
        <w:ind w:firstLine="720"/>
        <w:jc w:val="both"/>
        <w:rPr>
          <w:rFonts w:eastAsia="Calibri"/>
          <w:sz w:val="28"/>
          <w:szCs w:val="28"/>
        </w:rPr>
      </w:pPr>
      <w:r w:rsidRPr="0018242D">
        <w:rPr>
          <w:rFonts w:eastAsia="Calibri"/>
          <w:sz w:val="28"/>
          <w:szCs w:val="28"/>
        </w:rPr>
        <w:t>The second test asks whether the challenged law has “general applicability” – that is, “whether a law treats religious observers unequally.” [</w:t>
      </w:r>
      <w:r w:rsidRPr="0018242D">
        <w:rPr>
          <w:rFonts w:eastAsia="Calibri"/>
          <w:i/>
          <w:iCs/>
          <w:sz w:val="28"/>
          <w:szCs w:val="28"/>
        </w:rPr>
        <w:t>Parents for Privacy</w:t>
      </w:r>
      <w:r w:rsidRPr="0018242D">
        <w:rPr>
          <w:rFonts w:eastAsia="Calibri"/>
          <w:sz w:val="28"/>
          <w:szCs w:val="28"/>
        </w:rPr>
        <w:t xml:space="preserve">, supra, 949 F.3d at 1235, citing </w:t>
      </w:r>
      <w:proofErr w:type="spellStart"/>
      <w:r w:rsidRPr="0018242D">
        <w:rPr>
          <w:rFonts w:eastAsia="Calibri"/>
          <w:i/>
          <w:iCs/>
          <w:sz w:val="28"/>
          <w:szCs w:val="28"/>
        </w:rPr>
        <w:t>Lukumi</w:t>
      </w:r>
      <w:proofErr w:type="spellEnd"/>
      <w:r w:rsidRPr="0018242D">
        <w:rPr>
          <w:rFonts w:eastAsia="Calibri"/>
          <w:sz w:val="28"/>
          <w:szCs w:val="28"/>
        </w:rPr>
        <w:t xml:space="preserve">, supra, 508 at 542.] As the Supreme Court has noted, “inequality results when a legislature decides that the governmental interests it seeks to advance are worthy of being pursued </w:t>
      </w:r>
      <w:r w:rsidRPr="0018242D">
        <w:rPr>
          <w:rFonts w:eastAsia="Calibri"/>
          <w:i/>
          <w:iCs/>
          <w:sz w:val="28"/>
          <w:szCs w:val="28"/>
        </w:rPr>
        <w:t xml:space="preserve">only </w:t>
      </w:r>
      <w:r w:rsidRPr="0018242D">
        <w:rPr>
          <w:rFonts w:eastAsia="Calibri"/>
          <w:sz w:val="28"/>
          <w:szCs w:val="28"/>
        </w:rPr>
        <w:t>against conduct with a religious motivation.” [</w:t>
      </w:r>
      <w:proofErr w:type="spellStart"/>
      <w:r w:rsidRPr="0018242D">
        <w:rPr>
          <w:rFonts w:eastAsia="Calibri"/>
          <w:i/>
          <w:iCs/>
          <w:sz w:val="28"/>
          <w:szCs w:val="28"/>
        </w:rPr>
        <w:t>Lukumi</w:t>
      </w:r>
      <w:proofErr w:type="spellEnd"/>
      <w:r w:rsidRPr="0018242D">
        <w:rPr>
          <w:rFonts w:eastAsia="Calibri"/>
          <w:sz w:val="28"/>
          <w:szCs w:val="28"/>
        </w:rPr>
        <w:t xml:space="preserve">, supra, at 542-543 (italics added).] “Thus, a law is not generally applicable if its prohibitions substantially </w:t>
      </w:r>
      <w:proofErr w:type="spellStart"/>
      <w:r w:rsidRPr="0018242D">
        <w:rPr>
          <w:rFonts w:eastAsia="Calibri"/>
          <w:sz w:val="28"/>
          <w:szCs w:val="28"/>
        </w:rPr>
        <w:t>underinclude</w:t>
      </w:r>
      <w:proofErr w:type="spellEnd"/>
      <w:r w:rsidRPr="0018242D">
        <w:rPr>
          <w:rFonts w:eastAsia="Calibri"/>
          <w:sz w:val="28"/>
          <w:szCs w:val="28"/>
        </w:rPr>
        <w:t xml:space="preserve"> non-religiously motivated conduct that might endanger the same governmental interest that the law is designed to protect.” [</w:t>
      </w:r>
      <w:r w:rsidRPr="0018242D">
        <w:rPr>
          <w:rFonts w:eastAsia="Calibri"/>
          <w:i/>
          <w:iCs/>
          <w:sz w:val="28"/>
          <w:szCs w:val="28"/>
        </w:rPr>
        <w:t>Parents for Privacy</w:t>
      </w:r>
      <w:r w:rsidRPr="0018242D">
        <w:rPr>
          <w:rFonts w:eastAsia="Calibri"/>
          <w:sz w:val="28"/>
          <w:szCs w:val="28"/>
        </w:rPr>
        <w:t xml:space="preserve">, supra, 949 F.3d at 1235 (internal citations omitted).] </w:t>
      </w:r>
    </w:p>
    <w:p w:rsidR="0018242D" w:rsidRPr="0018242D" w:rsidRDefault="0018242D" w:rsidP="00B57C85">
      <w:pPr>
        <w:spacing w:line="480" w:lineRule="auto"/>
        <w:ind w:firstLine="720"/>
        <w:jc w:val="both"/>
        <w:rPr>
          <w:rFonts w:eastAsia="Calibri"/>
          <w:sz w:val="28"/>
          <w:szCs w:val="28"/>
        </w:rPr>
      </w:pPr>
      <w:r w:rsidRPr="0018242D">
        <w:rPr>
          <w:rFonts w:eastAsia="Calibri"/>
          <w:sz w:val="28"/>
          <w:szCs w:val="28"/>
        </w:rPr>
        <w:lastRenderedPageBreak/>
        <w:t>“In other words, if a law pursues the government's interest ‘</w:t>
      </w:r>
      <w:r w:rsidRPr="0018242D">
        <w:rPr>
          <w:rFonts w:eastAsia="Calibri"/>
          <w:i/>
          <w:iCs/>
          <w:sz w:val="28"/>
          <w:szCs w:val="28"/>
        </w:rPr>
        <w:t>only against conduct motivated by religious belief</w:t>
      </w:r>
      <w:r w:rsidRPr="0018242D">
        <w:rPr>
          <w:rFonts w:eastAsia="Calibri"/>
          <w:sz w:val="28"/>
          <w:szCs w:val="28"/>
        </w:rPr>
        <w:t>,’ but fails to include in its prohibitions substantial, comparable secular conduct that would similarly threaten the government's interest, then the law is not generally applicable.” [</w:t>
      </w:r>
      <w:r w:rsidRPr="0018242D">
        <w:rPr>
          <w:rFonts w:eastAsia="Calibri"/>
          <w:i/>
          <w:iCs/>
          <w:sz w:val="28"/>
          <w:szCs w:val="28"/>
        </w:rPr>
        <w:t>Parents for Privacy</w:t>
      </w:r>
      <w:r w:rsidRPr="0018242D">
        <w:rPr>
          <w:rFonts w:eastAsia="Calibri"/>
          <w:sz w:val="28"/>
          <w:szCs w:val="28"/>
        </w:rPr>
        <w:t xml:space="preserve">, supra, 949 F.3d at 1235, quoting </w:t>
      </w:r>
      <w:proofErr w:type="spellStart"/>
      <w:r w:rsidRPr="0018242D">
        <w:rPr>
          <w:rFonts w:eastAsia="Calibri"/>
          <w:i/>
          <w:iCs/>
          <w:sz w:val="28"/>
          <w:szCs w:val="28"/>
        </w:rPr>
        <w:t>Lukumi</w:t>
      </w:r>
      <w:proofErr w:type="spellEnd"/>
      <w:r w:rsidRPr="0018242D">
        <w:rPr>
          <w:rFonts w:eastAsia="Calibri"/>
          <w:sz w:val="28"/>
          <w:szCs w:val="28"/>
        </w:rPr>
        <w:t xml:space="preserve">, 508 U.S. at 545.] “For example, in </w:t>
      </w:r>
      <w:proofErr w:type="spellStart"/>
      <w:r w:rsidRPr="0018242D">
        <w:rPr>
          <w:rFonts w:eastAsia="Calibri"/>
          <w:i/>
          <w:iCs/>
          <w:sz w:val="28"/>
          <w:szCs w:val="28"/>
        </w:rPr>
        <w:t>Lukumi</w:t>
      </w:r>
      <w:proofErr w:type="spellEnd"/>
      <w:r w:rsidRPr="0018242D">
        <w:rPr>
          <w:rFonts w:eastAsia="Calibri"/>
          <w:sz w:val="28"/>
          <w:szCs w:val="28"/>
        </w:rPr>
        <w:t>, the Court concluded that the challenged ordinances were not generally applicable because they ‘pursue[d] the city's governmental interests only against conduct motivated by religious belief’ and ‘fail[</w:t>
      </w:r>
      <w:proofErr w:type="spellStart"/>
      <w:r w:rsidRPr="0018242D">
        <w:rPr>
          <w:rFonts w:eastAsia="Calibri"/>
          <w:sz w:val="28"/>
          <w:szCs w:val="28"/>
        </w:rPr>
        <w:t>ed</w:t>
      </w:r>
      <w:proofErr w:type="spellEnd"/>
      <w:r w:rsidRPr="0018242D">
        <w:rPr>
          <w:rFonts w:eastAsia="Calibri"/>
          <w:sz w:val="28"/>
          <w:szCs w:val="28"/>
        </w:rPr>
        <w:t>] to prohibit nonreligious conduct that endanger[</w:t>
      </w:r>
      <w:proofErr w:type="spellStart"/>
      <w:r w:rsidRPr="0018242D">
        <w:rPr>
          <w:rFonts w:eastAsia="Calibri"/>
          <w:sz w:val="28"/>
          <w:szCs w:val="28"/>
        </w:rPr>
        <w:t>ed</w:t>
      </w:r>
      <w:proofErr w:type="spellEnd"/>
      <w:r w:rsidRPr="0018242D">
        <w:rPr>
          <w:rFonts w:eastAsia="Calibri"/>
          <w:sz w:val="28"/>
          <w:szCs w:val="28"/>
        </w:rPr>
        <w:t>] these interests in a similar or greater degree than Santeria sacrifice does.’” [</w:t>
      </w:r>
      <w:r w:rsidRPr="0018242D">
        <w:rPr>
          <w:rFonts w:eastAsia="Calibri"/>
          <w:i/>
          <w:iCs/>
          <w:sz w:val="28"/>
          <w:szCs w:val="28"/>
        </w:rPr>
        <w:t>Id.</w:t>
      </w:r>
      <w:r w:rsidRPr="0018242D">
        <w:rPr>
          <w:rFonts w:eastAsia="Calibri"/>
          <w:sz w:val="28"/>
          <w:szCs w:val="28"/>
        </w:rPr>
        <w:t xml:space="preserve">, quoting </w:t>
      </w:r>
      <w:proofErr w:type="spellStart"/>
      <w:r w:rsidRPr="0018242D">
        <w:rPr>
          <w:rFonts w:eastAsia="Calibri"/>
          <w:i/>
          <w:iCs/>
          <w:sz w:val="28"/>
          <w:szCs w:val="28"/>
        </w:rPr>
        <w:t>Lukumi</w:t>
      </w:r>
      <w:proofErr w:type="spellEnd"/>
      <w:r w:rsidRPr="0018242D">
        <w:rPr>
          <w:rFonts w:eastAsia="Calibri"/>
          <w:sz w:val="28"/>
          <w:szCs w:val="28"/>
        </w:rPr>
        <w:t xml:space="preserve">, 508 U.S. at 543, 545.] </w:t>
      </w:r>
    </w:p>
    <w:p w:rsidR="0018242D" w:rsidRPr="0018242D" w:rsidRDefault="0018242D" w:rsidP="00B57C85">
      <w:pPr>
        <w:spacing w:line="480" w:lineRule="auto"/>
        <w:ind w:firstLine="720"/>
        <w:jc w:val="both"/>
        <w:rPr>
          <w:rFonts w:eastAsia="Calibri"/>
          <w:sz w:val="28"/>
          <w:szCs w:val="28"/>
        </w:rPr>
      </w:pPr>
      <w:r w:rsidRPr="0018242D">
        <w:rPr>
          <w:rFonts w:eastAsia="Calibri"/>
          <w:sz w:val="28"/>
          <w:szCs w:val="28"/>
        </w:rPr>
        <w:t>Here, the County’s challenged public health</w:t>
      </w:r>
      <w:r w:rsidR="00E05D66">
        <w:rPr>
          <w:rFonts w:eastAsia="Calibri"/>
          <w:sz w:val="28"/>
          <w:szCs w:val="28"/>
        </w:rPr>
        <w:t xml:space="preserve"> Order</w:t>
      </w:r>
      <w:r w:rsidRPr="0018242D">
        <w:rPr>
          <w:rFonts w:eastAsia="Calibri"/>
          <w:sz w:val="28"/>
          <w:szCs w:val="28"/>
        </w:rPr>
        <w:t xml:space="preserve"> in no way places “demands exclusively (or even principally) on religious persons or conduct.” [</w:t>
      </w:r>
      <w:r w:rsidRPr="0018242D">
        <w:rPr>
          <w:rFonts w:eastAsia="Calibri"/>
          <w:i/>
          <w:iCs/>
          <w:sz w:val="28"/>
          <w:szCs w:val="28"/>
        </w:rPr>
        <w:t>Parents for Privacy</w:t>
      </w:r>
      <w:r w:rsidRPr="0018242D">
        <w:rPr>
          <w:rFonts w:eastAsia="Calibri"/>
          <w:sz w:val="28"/>
          <w:szCs w:val="28"/>
        </w:rPr>
        <w:t>, supra, 949 F.3d at 1235.] The Orders Against Public Gat</w:t>
      </w:r>
      <w:r w:rsidR="00E05D66">
        <w:rPr>
          <w:rFonts w:eastAsia="Calibri"/>
          <w:sz w:val="28"/>
          <w:szCs w:val="28"/>
        </w:rPr>
        <w:t>herings instead apply</w:t>
      </w:r>
      <w:r w:rsidRPr="0018242D">
        <w:rPr>
          <w:rFonts w:eastAsia="Calibri"/>
          <w:sz w:val="28"/>
          <w:szCs w:val="28"/>
        </w:rPr>
        <w:t xml:space="preserve"> generally to all residents, businesses, and other gatherings of people in the County, except for a limited number of businesses in “critical infrastructure sectors” designated by the federal and State governments as necessary to protect the health and safety of the community while people hunker down and engage in the extreme social distancing needed to flatten the curve by stemming and slowing the transmission of the virus. </w:t>
      </w:r>
    </w:p>
    <w:p w:rsidR="0018242D" w:rsidRPr="0018242D" w:rsidRDefault="0018242D" w:rsidP="00B57C85">
      <w:pPr>
        <w:spacing w:line="480" w:lineRule="auto"/>
        <w:ind w:firstLine="720"/>
        <w:jc w:val="both"/>
        <w:rPr>
          <w:rFonts w:eastAsia="Calibri"/>
          <w:sz w:val="28"/>
          <w:szCs w:val="28"/>
        </w:rPr>
      </w:pPr>
      <w:r w:rsidRPr="0018242D">
        <w:rPr>
          <w:rFonts w:eastAsia="Calibri"/>
          <w:sz w:val="28"/>
          <w:szCs w:val="28"/>
        </w:rPr>
        <w:t>Because the ch</w:t>
      </w:r>
      <w:r w:rsidR="00E05D66">
        <w:rPr>
          <w:rFonts w:eastAsia="Calibri"/>
          <w:sz w:val="28"/>
          <w:szCs w:val="28"/>
        </w:rPr>
        <w:t>allenged County public health Or</w:t>
      </w:r>
      <w:r w:rsidRPr="0018242D">
        <w:rPr>
          <w:rFonts w:eastAsia="Calibri"/>
          <w:sz w:val="28"/>
          <w:szCs w:val="28"/>
        </w:rPr>
        <w:t>der “qualifies as neutral and generally applicable, it is not subject to strict scrutiny.” [</w:t>
      </w:r>
      <w:r w:rsidRPr="0018242D">
        <w:rPr>
          <w:rFonts w:eastAsia="Calibri"/>
          <w:i/>
          <w:iCs/>
          <w:sz w:val="28"/>
          <w:szCs w:val="28"/>
        </w:rPr>
        <w:t>Parents for Privacy</w:t>
      </w:r>
      <w:r w:rsidRPr="0018242D">
        <w:rPr>
          <w:rFonts w:eastAsia="Calibri"/>
          <w:sz w:val="28"/>
          <w:szCs w:val="28"/>
        </w:rPr>
        <w:t xml:space="preserve">, supra, 949 F.3d at 1236, citing </w:t>
      </w:r>
      <w:proofErr w:type="spellStart"/>
      <w:r w:rsidRPr="0018242D">
        <w:rPr>
          <w:rFonts w:eastAsia="Calibri"/>
          <w:i/>
          <w:iCs/>
          <w:sz w:val="28"/>
          <w:szCs w:val="28"/>
        </w:rPr>
        <w:t>Selecky</w:t>
      </w:r>
      <w:proofErr w:type="spellEnd"/>
      <w:r w:rsidRPr="0018242D">
        <w:rPr>
          <w:rFonts w:eastAsia="Calibri"/>
          <w:sz w:val="28"/>
          <w:szCs w:val="28"/>
        </w:rPr>
        <w:t xml:space="preserve">, 586 F.3d at 1129 (“[A] neutral law of general applicability will not be subject to strict scrutiny review.”).] Instead, the County’s Order </w:t>
      </w:r>
      <w:proofErr w:type="gramStart"/>
      <w:r w:rsidRPr="0018242D">
        <w:rPr>
          <w:rFonts w:eastAsia="Calibri"/>
          <w:sz w:val="28"/>
          <w:szCs w:val="28"/>
        </w:rPr>
        <w:t>Against</w:t>
      </w:r>
      <w:proofErr w:type="gramEnd"/>
      <w:r w:rsidRPr="0018242D">
        <w:rPr>
          <w:rFonts w:eastAsia="Calibri"/>
          <w:sz w:val="28"/>
          <w:szCs w:val="28"/>
        </w:rPr>
        <w:t xml:space="preserve"> Public Gatherings is </w:t>
      </w:r>
      <w:r w:rsidRPr="0018242D">
        <w:rPr>
          <w:rFonts w:eastAsia="Calibri"/>
          <w:sz w:val="28"/>
          <w:szCs w:val="28"/>
        </w:rPr>
        <w:lastRenderedPageBreak/>
        <w:t>reviewed “for a rational basis, which means that the [order] must be upheld if it is rationally related to a legitimate governmental purpose.” [</w:t>
      </w:r>
      <w:r w:rsidRPr="0018242D">
        <w:rPr>
          <w:rFonts w:eastAsia="Calibri"/>
          <w:i/>
          <w:iCs/>
          <w:sz w:val="28"/>
          <w:szCs w:val="28"/>
        </w:rPr>
        <w:t xml:space="preserve">Id. </w:t>
      </w:r>
      <w:r w:rsidRPr="0018242D">
        <w:rPr>
          <w:rFonts w:eastAsia="Calibri"/>
          <w:sz w:val="28"/>
          <w:szCs w:val="28"/>
        </w:rPr>
        <w:t xml:space="preserve">at 1238; </w:t>
      </w:r>
      <w:r w:rsidRPr="0018242D">
        <w:rPr>
          <w:rFonts w:eastAsia="Calibri"/>
          <w:i/>
          <w:iCs/>
          <w:sz w:val="28"/>
          <w:szCs w:val="28"/>
        </w:rPr>
        <w:t xml:space="preserve">see also </w:t>
      </w:r>
      <w:proofErr w:type="spellStart"/>
      <w:r w:rsidRPr="0018242D">
        <w:rPr>
          <w:rFonts w:eastAsia="Calibri"/>
          <w:i/>
          <w:iCs/>
          <w:sz w:val="28"/>
          <w:szCs w:val="28"/>
        </w:rPr>
        <w:t>Selecky</w:t>
      </w:r>
      <w:proofErr w:type="spellEnd"/>
      <w:r w:rsidRPr="0018242D">
        <w:rPr>
          <w:rFonts w:eastAsia="Calibri"/>
          <w:sz w:val="28"/>
          <w:szCs w:val="28"/>
        </w:rPr>
        <w:t xml:space="preserve">, 586 F.3d at 1127- 1128 (“Under the governing standard, ‘a law that is neutral and of general applicability need not be justified by a compelling governmental interest even if the law has the incidental effect of burdening a particular religious practice.’”).] </w:t>
      </w:r>
    </w:p>
    <w:p w:rsidR="0018242D" w:rsidRPr="0018242D" w:rsidRDefault="0018242D" w:rsidP="00B57C85">
      <w:pPr>
        <w:spacing w:line="480" w:lineRule="auto"/>
        <w:ind w:firstLine="720"/>
        <w:jc w:val="both"/>
        <w:rPr>
          <w:rFonts w:eastAsia="Calibri"/>
          <w:sz w:val="28"/>
          <w:szCs w:val="28"/>
        </w:rPr>
      </w:pPr>
      <w:r w:rsidRPr="0018242D">
        <w:rPr>
          <w:rFonts w:eastAsia="Calibri"/>
          <w:sz w:val="28"/>
          <w:szCs w:val="28"/>
        </w:rPr>
        <w:t xml:space="preserve">Under rational basis review, Plaintiff has the burden to negate “every conceivable basis which might support” the County’s Orders </w:t>
      </w:r>
      <w:proofErr w:type="gramStart"/>
      <w:r w:rsidRPr="0018242D">
        <w:rPr>
          <w:rFonts w:eastAsia="Calibri"/>
          <w:sz w:val="28"/>
          <w:szCs w:val="28"/>
        </w:rPr>
        <w:t>Against</w:t>
      </w:r>
      <w:proofErr w:type="gramEnd"/>
      <w:r w:rsidRPr="0018242D">
        <w:rPr>
          <w:rFonts w:eastAsia="Calibri"/>
          <w:sz w:val="28"/>
          <w:szCs w:val="28"/>
        </w:rPr>
        <w:t xml:space="preserve"> Public Gatherings. [</w:t>
      </w:r>
      <w:r w:rsidRPr="0018242D">
        <w:rPr>
          <w:rFonts w:eastAsia="Calibri"/>
          <w:i/>
          <w:iCs/>
          <w:sz w:val="28"/>
          <w:szCs w:val="28"/>
        </w:rPr>
        <w:t xml:space="preserve">F.C.C. v. Beach </w:t>
      </w:r>
      <w:proofErr w:type="spellStart"/>
      <w:r w:rsidRPr="0018242D">
        <w:rPr>
          <w:rFonts w:eastAsia="Calibri"/>
          <w:i/>
          <w:iCs/>
          <w:sz w:val="28"/>
          <w:szCs w:val="28"/>
        </w:rPr>
        <w:t>Communs</w:t>
      </w:r>
      <w:proofErr w:type="spellEnd"/>
      <w:r w:rsidRPr="0018242D">
        <w:rPr>
          <w:rFonts w:eastAsia="Calibri"/>
          <w:i/>
          <w:iCs/>
          <w:sz w:val="28"/>
          <w:szCs w:val="28"/>
        </w:rPr>
        <w:t>., Inc.</w:t>
      </w:r>
      <w:r w:rsidRPr="0018242D">
        <w:rPr>
          <w:rFonts w:eastAsia="Calibri"/>
          <w:sz w:val="28"/>
          <w:szCs w:val="28"/>
        </w:rPr>
        <w:t>, 508 U.S. 307, 315 (1993) (underscore added).] And Plaintiffs’ duty to negate every rational basis supporting the order exists “whether or not the basis has a foundation in the record.” [</w:t>
      </w:r>
      <w:r w:rsidRPr="0018242D">
        <w:rPr>
          <w:rFonts w:eastAsia="Calibri"/>
          <w:i/>
          <w:iCs/>
          <w:sz w:val="28"/>
          <w:szCs w:val="28"/>
        </w:rPr>
        <w:t>Heller v. Doe by Doe</w:t>
      </w:r>
      <w:r w:rsidRPr="0018242D">
        <w:rPr>
          <w:rFonts w:eastAsia="Calibri"/>
          <w:sz w:val="28"/>
          <w:szCs w:val="28"/>
        </w:rPr>
        <w:t xml:space="preserve">, 509 U.S. 312, 320-321 (1993).] In its application, Plaintiff made no attempt to negate every conceivable basis that might support the County’s Orders </w:t>
      </w:r>
      <w:proofErr w:type="gramStart"/>
      <w:r w:rsidRPr="0018242D">
        <w:rPr>
          <w:rFonts w:eastAsia="Calibri"/>
          <w:sz w:val="28"/>
          <w:szCs w:val="28"/>
        </w:rPr>
        <w:t>Against</w:t>
      </w:r>
      <w:proofErr w:type="gramEnd"/>
      <w:r w:rsidRPr="0018242D">
        <w:rPr>
          <w:rFonts w:eastAsia="Calibri"/>
          <w:sz w:val="28"/>
          <w:szCs w:val="28"/>
        </w:rPr>
        <w:t xml:space="preserve"> Public Gatherings. And although the County is not required to do so, it points to ample evidence in the record supporting the stay-at-home order’s rational </w:t>
      </w:r>
      <w:r w:rsidRPr="0072322F">
        <w:rPr>
          <w:rFonts w:eastAsia="Calibri"/>
          <w:sz w:val="28"/>
          <w:szCs w:val="28"/>
        </w:rPr>
        <w:t>basis. [</w:t>
      </w:r>
      <w:r w:rsidR="0072322F" w:rsidRPr="0072322F">
        <w:rPr>
          <w:rFonts w:eastAsia="Calibri"/>
          <w:i/>
          <w:iCs/>
          <w:sz w:val="28"/>
          <w:szCs w:val="28"/>
        </w:rPr>
        <w:t xml:space="preserve">See </w:t>
      </w:r>
      <w:r w:rsidR="0072322F" w:rsidRPr="0072322F">
        <w:rPr>
          <w:sz w:val="28"/>
          <w:szCs w:val="28"/>
        </w:rPr>
        <w:t>Kaiser Declaration,</w:t>
      </w:r>
      <w:r w:rsidR="0072322F" w:rsidRPr="0072322F">
        <w:rPr>
          <w:rFonts w:eastAsia="Calibri"/>
          <w:sz w:val="28"/>
          <w:szCs w:val="28"/>
        </w:rPr>
        <w:t xml:space="preserve"> Paragraph 10, Exhibit I</w:t>
      </w:r>
      <w:r w:rsidR="0072322F">
        <w:rPr>
          <w:rFonts w:eastAsia="Calibri"/>
          <w:sz w:val="28"/>
          <w:szCs w:val="28"/>
        </w:rPr>
        <w:t xml:space="preserve"> at Paragraphs 4-11; Kaiser Declaration, Paragraph 11, Page 6, Lines 4-10</w:t>
      </w:r>
      <w:r w:rsidR="0072322F" w:rsidRPr="0072322F">
        <w:rPr>
          <w:rFonts w:eastAsia="Calibri"/>
          <w:sz w:val="28"/>
          <w:szCs w:val="28"/>
        </w:rPr>
        <w:t>.</w:t>
      </w:r>
      <w:r w:rsidR="0072322F">
        <w:rPr>
          <w:rFonts w:eastAsia="Calibri"/>
          <w:sz w:val="28"/>
          <w:szCs w:val="28"/>
        </w:rPr>
        <w:t>]</w:t>
      </w:r>
    </w:p>
    <w:p w:rsidR="0018242D" w:rsidRPr="0018242D" w:rsidRDefault="0018242D" w:rsidP="00B57C85">
      <w:pPr>
        <w:pStyle w:val="ListParagraph"/>
        <w:numPr>
          <w:ilvl w:val="0"/>
          <w:numId w:val="10"/>
        </w:numPr>
        <w:spacing w:line="480" w:lineRule="auto"/>
        <w:jc w:val="both"/>
        <w:rPr>
          <w:rFonts w:eastAsia="Calibri"/>
          <w:b/>
          <w:bCs/>
          <w:sz w:val="28"/>
          <w:szCs w:val="28"/>
          <w:u w:val="single"/>
        </w:rPr>
      </w:pPr>
      <w:r w:rsidRPr="0018242D">
        <w:rPr>
          <w:rFonts w:eastAsia="Calibri"/>
          <w:b/>
          <w:bCs/>
          <w:sz w:val="28"/>
          <w:szCs w:val="28"/>
          <w:u w:val="single"/>
        </w:rPr>
        <w:t>The Establishment Clause Has Not Been Violated</w:t>
      </w:r>
      <w:r w:rsidR="00D56445">
        <w:rPr>
          <w:rFonts w:eastAsia="Calibri"/>
          <w:b/>
          <w:bCs/>
          <w:sz w:val="28"/>
          <w:szCs w:val="28"/>
          <w:u w:val="single"/>
        </w:rPr>
        <w:t>.</w:t>
      </w:r>
    </w:p>
    <w:p w:rsidR="004334D2" w:rsidRDefault="0018242D" w:rsidP="004334D2">
      <w:pPr>
        <w:spacing w:line="480" w:lineRule="auto"/>
        <w:ind w:firstLine="720"/>
        <w:jc w:val="both"/>
        <w:rPr>
          <w:color w:val="000000" w:themeColor="text1"/>
          <w:sz w:val="28"/>
          <w:szCs w:val="28"/>
          <w:shd w:val="clear" w:color="auto" w:fill="FFFFFF"/>
        </w:rPr>
      </w:pPr>
      <w:r w:rsidRPr="0018242D">
        <w:rPr>
          <w:color w:val="000000" w:themeColor="text1"/>
          <w:sz w:val="28"/>
          <w:szCs w:val="28"/>
          <w:shd w:val="clear" w:color="auto" w:fill="FFFFFF"/>
        </w:rPr>
        <w:t>The Federal Establishment Clause prohibits the government from making any law “respecting an establishment of religion” or undertaking any act that unduly favors one religion over another.</w:t>
      </w:r>
      <w:r w:rsidRPr="0018242D">
        <w:rPr>
          <w:rStyle w:val="apple-converted-space"/>
          <w:color w:val="000000" w:themeColor="text1"/>
          <w:sz w:val="28"/>
          <w:szCs w:val="28"/>
          <w:shd w:val="clear" w:color="auto" w:fill="FFFFFF"/>
        </w:rPr>
        <w:t> [</w:t>
      </w:r>
      <w:r w:rsidRPr="0018242D">
        <w:rPr>
          <w:color w:val="000000" w:themeColor="text1"/>
          <w:sz w:val="28"/>
          <w:szCs w:val="28"/>
          <w:bdr w:val="none" w:sz="0" w:space="0" w:color="auto" w:frame="1"/>
        </w:rPr>
        <w:t>U.S. Const. amend. I</w:t>
      </w:r>
      <w:r w:rsidRPr="0018242D">
        <w:rPr>
          <w:color w:val="000000" w:themeColor="text1"/>
          <w:sz w:val="28"/>
          <w:szCs w:val="28"/>
          <w:shd w:val="clear" w:color="auto" w:fill="FFFFFF"/>
        </w:rPr>
        <w:t>.] The test articulated by the Supreme Court in</w:t>
      </w:r>
      <w:r w:rsidRPr="0018242D">
        <w:rPr>
          <w:rStyle w:val="apple-converted-space"/>
          <w:color w:val="000000" w:themeColor="text1"/>
          <w:sz w:val="28"/>
          <w:szCs w:val="28"/>
          <w:shd w:val="clear" w:color="auto" w:fill="FFFFFF"/>
        </w:rPr>
        <w:t> </w:t>
      </w:r>
      <w:r w:rsidRPr="0018242D">
        <w:rPr>
          <w:rStyle w:val="cosearchterm"/>
          <w:i/>
          <w:iCs/>
          <w:color w:val="000000" w:themeColor="text1"/>
          <w:sz w:val="28"/>
          <w:szCs w:val="28"/>
          <w:bdr w:val="none" w:sz="0" w:space="0" w:color="auto" w:frame="1"/>
        </w:rPr>
        <w:t>Lemon v. Kurtzman</w:t>
      </w:r>
      <w:r w:rsidRPr="0018242D">
        <w:rPr>
          <w:rStyle w:val="apple-converted-space"/>
          <w:color w:val="000000" w:themeColor="text1"/>
          <w:sz w:val="28"/>
          <w:szCs w:val="28"/>
          <w:shd w:val="clear" w:color="auto" w:fill="FFFFFF"/>
        </w:rPr>
        <w:t> </w:t>
      </w:r>
      <w:r w:rsidRPr="0018242D">
        <w:rPr>
          <w:color w:val="000000" w:themeColor="text1"/>
          <w:sz w:val="28"/>
          <w:szCs w:val="28"/>
          <w:shd w:val="clear" w:color="auto" w:fill="FFFFFF"/>
        </w:rPr>
        <w:t>“remains the Court's principal framework for applying the Establishment Clause,” although</w:t>
      </w:r>
      <w:r w:rsidRPr="0018242D">
        <w:rPr>
          <w:rStyle w:val="apple-converted-space"/>
          <w:color w:val="000000" w:themeColor="text1"/>
          <w:sz w:val="28"/>
          <w:szCs w:val="28"/>
          <w:shd w:val="clear" w:color="auto" w:fill="FFFFFF"/>
        </w:rPr>
        <w:t> </w:t>
      </w:r>
      <w:hyperlink r:id="rId10" w:history="1">
        <w:r w:rsidRPr="0018242D">
          <w:rPr>
            <w:rStyle w:val="cosearchterm"/>
            <w:color w:val="000000" w:themeColor="text1"/>
            <w:sz w:val="28"/>
            <w:szCs w:val="28"/>
            <w:bdr w:val="none" w:sz="0" w:space="0" w:color="auto" w:frame="1"/>
          </w:rPr>
          <w:t>Lemon</w:t>
        </w:r>
      </w:hyperlink>
      <w:r w:rsidRPr="0018242D">
        <w:rPr>
          <w:rStyle w:val="apple-converted-space"/>
          <w:color w:val="000000" w:themeColor="text1"/>
          <w:sz w:val="28"/>
          <w:szCs w:val="28"/>
          <w:shd w:val="clear" w:color="auto" w:fill="FFFFFF"/>
        </w:rPr>
        <w:t> </w:t>
      </w:r>
      <w:r w:rsidRPr="0018242D">
        <w:rPr>
          <w:color w:val="000000" w:themeColor="text1"/>
          <w:sz w:val="28"/>
          <w:szCs w:val="28"/>
          <w:shd w:val="clear" w:color="auto" w:fill="FFFFFF"/>
        </w:rPr>
        <w:t xml:space="preserve">has been “much criticized both inside and outside </w:t>
      </w:r>
      <w:r w:rsidRPr="0018242D">
        <w:rPr>
          <w:color w:val="000000" w:themeColor="text1"/>
          <w:sz w:val="28"/>
          <w:szCs w:val="28"/>
          <w:shd w:val="clear" w:color="auto" w:fill="FFFFFF"/>
        </w:rPr>
        <w:lastRenderedPageBreak/>
        <w:t>the Court,” and “sometimes ignored by the Court altogether.”</w:t>
      </w:r>
      <w:r w:rsidRPr="0018242D">
        <w:rPr>
          <w:rStyle w:val="apple-converted-space"/>
          <w:color w:val="000000" w:themeColor="text1"/>
          <w:sz w:val="28"/>
          <w:szCs w:val="28"/>
          <w:shd w:val="clear" w:color="auto" w:fill="FFFFFF"/>
        </w:rPr>
        <w:t> [</w:t>
      </w:r>
      <w:r w:rsidRPr="0018242D">
        <w:rPr>
          <w:rStyle w:val="counderline"/>
          <w:i/>
          <w:iCs/>
          <w:color w:val="000000" w:themeColor="text1"/>
          <w:sz w:val="28"/>
          <w:szCs w:val="28"/>
          <w:bdr w:val="none" w:sz="0" w:space="0" w:color="auto" w:frame="1"/>
        </w:rPr>
        <w:t>Santa Monica Nativity Scenes Comm. v. City of Santa Monica</w:t>
      </w:r>
      <w:r w:rsidRPr="0018242D">
        <w:rPr>
          <w:color w:val="000000" w:themeColor="text1"/>
          <w:sz w:val="28"/>
          <w:szCs w:val="28"/>
          <w:bdr w:val="none" w:sz="0" w:space="0" w:color="auto" w:frame="1"/>
        </w:rPr>
        <w:t>, 784 F.3d 1286, 1299 n. 7 (9th Cir. 2015)</w:t>
      </w:r>
      <w:r w:rsidRPr="0018242D">
        <w:rPr>
          <w:color w:val="000000" w:themeColor="text1"/>
          <w:sz w:val="28"/>
          <w:szCs w:val="28"/>
          <w:shd w:val="clear" w:color="auto" w:fill="FFFFFF"/>
        </w:rPr>
        <w:t>(citing</w:t>
      </w:r>
      <w:r w:rsidRPr="0018242D">
        <w:rPr>
          <w:rStyle w:val="apple-converted-space"/>
          <w:color w:val="000000" w:themeColor="text1"/>
          <w:sz w:val="28"/>
          <w:szCs w:val="28"/>
          <w:shd w:val="clear" w:color="auto" w:fill="FFFFFF"/>
        </w:rPr>
        <w:t> </w:t>
      </w:r>
      <w:r w:rsidRPr="0018242D">
        <w:rPr>
          <w:rStyle w:val="counderline"/>
          <w:i/>
          <w:iCs/>
          <w:color w:val="000000" w:themeColor="text1"/>
          <w:sz w:val="28"/>
          <w:szCs w:val="28"/>
          <w:bdr w:val="none" w:sz="0" w:space="0" w:color="auto" w:frame="1"/>
        </w:rPr>
        <w:t>Lemon</w:t>
      </w:r>
      <w:r w:rsidRPr="0018242D">
        <w:rPr>
          <w:rStyle w:val="apple-converted-space"/>
          <w:i/>
          <w:iCs/>
          <w:color w:val="000000" w:themeColor="text1"/>
          <w:sz w:val="28"/>
          <w:szCs w:val="28"/>
          <w:bdr w:val="none" w:sz="0" w:space="0" w:color="auto" w:frame="1"/>
        </w:rPr>
        <w:t> </w:t>
      </w:r>
      <w:r w:rsidRPr="0018242D">
        <w:rPr>
          <w:rStyle w:val="counderline"/>
          <w:i/>
          <w:iCs/>
          <w:color w:val="000000" w:themeColor="text1"/>
          <w:sz w:val="28"/>
          <w:szCs w:val="28"/>
          <w:bdr w:val="none" w:sz="0" w:space="0" w:color="auto" w:frame="1"/>
        </w:rPr>
        <w:t>v.</w:t>
      </w:r>
      <w:r w:rsidRPr="0018242D">
        <w:rPr>
          <w:rStyle w:val="apple-converted-space"/>
          <w:i/>
          <w:iCs/>
          <w:color w:val="000000" w:themeColor="text1"/>
          <w:sz w:val="28"/>
          <w:szCs w:val="28"/>
          <w:bdr w:val="none" w:sz="0" w:space="0" w:color="auto" w:frame="1"/>
        </w:rPr>
        <w:t> </w:t>
      </w:r>
      <w:r w:rsidRPr="0018242D">
        <w:rPr>
          <w:rStyle w:val="counderline"/>
          <w:i/>
          <w:iCs/>
          <w:color w:val="000000" w:themeColor="text1"/>
          <w:sz w:val="28"/>
          <w:szCs w:val="28"/>
          <w:bdr w:val="none" w:sz="0" w:space="0" w:color="auto" w:frame="1"/>
        </w:rPr>
        <w:t>Kurtzman</w:t>
      </w:r>
      <w:r w:rsidRPr="0018242D">
        <w:rPr>
          <w:rStyle w:val="cosearchterm"/>
          <w:color w:val="000000" w:themeColor="text1"/>
          <w:sz w:val="28"/>
          <w:szCs w:val="28"/>
          <w:bdr w:val="none" w:sz="0" w:space="0" w:color="auto" w:frame="1"/>
        </w:rPr>
        <w:t>,</w:t>
      </w:r>
      <w:r w:rsidRPr="0018242D">
        <w:rPr>
          <w:rStyle w:val="apple-converted-space"/>
          <w:color w:val="000000" w:themeColor="text1"/>
          <w:sz w:val="28"/>
          <w:szCs w:val="28"/>
          <w:bdr w:val="none" w:sz="0" w:space="0" w:color="auto" w:frame="1"/>
        </w:rPr>
        <w:t> </w:t>
      </w:r>
      <w:r w:rsidRPr="0018242D">
        <w:rPr>
          <w:rStyle w:val="cosearchterm"/>
          <w:color w:val="000000" w:themeColor="text1"/>
          <w:sz w:val="28"/>
          <w:szCs w:val="28"/>
          <w:bdr w:val="none" w:sz="0" w:space="0" w:color="auto" w:frame="1"/>
        </w:rPr>
        <w:t>403</w:t>
      </w:r>
      <w:r w:rsidRPr="0018242D">
        <w:rPr>
          <w:rStyle w:val="apple-converted-space"/>
          <w:color w:val="000000" w:themeColor="text1"/>
          <w:sz w:val="28"/>
          <w:szCs w:val="28"/>
          <w:bdr w:val="none" w:sz="0" w:space="0" w:color="auto" w:frame="1"/>
        </w:rPr>
        <w:t> </w:t>
      </w:r>
      <w:r w:rsidRPr="0018242D">
        <w:rPr>
          <w:rStyle w:val="cosearchterm"/>
          <w:color w:val="000000" w:themeColor="text1"/>
          <w:sz w:val="28"/>
          <w:szCs w:val="28"/>
          <w:bdr w:val="none" w:sz="0" w:space="0" w:color="auto" w:frame="1"/>
        </w:rPr>
        <w:t>U.S.</w:t>
      </w:r>
      <w:r w:rsidRPr="0018242D">
        <w:rPr>
          <w:rStyle w:val="apple-converted-space"/>
          <w:color w:val="000000" w:themeColor="text1"/>
          <w:sz w:val="28"/>
          <w:szCs w:val="28"/>
          <w:bdr w:val="none" w:sz="0" w:space="0" w:color="auto" w:frame="1"/>
        </w:rPr>
        <w:t> </w:t>
      </w:r>
      <w:r w:rsidRPr="0018242D">
        <w:rPr>
          <w:rStyle w:val="cosearchterm"/>
          <w:color w:val="000000" w:themeColor="text1"/>
          <w:sz w:val="28"/>
          <w:szCs w:val="28"/>
          <w:bdr w:val="none" w:sz="0" w:space="0" w:color="auto" w:frame="1"/>
        </w:rPr>
        <w:t>602,</w:t>
      </w:r>
      <w:r w:rsidRPr="0018242D">
        <w:rPr>
          <w:rStyle w:val="apple-converted-space"/>
          <w:color w:val="000000" w:themeColor="text1"/>
          <w:sz w:val="28"/>
          <w:szCs w:val="28"/>
          <w:bdr w:val="none" w:sz="0" w:space="0" w:color="auto" w:frame="1"/>
        </w:rPr>
        <w:t> </w:t>
      </w:r>
      <w:r w:rsidRPr="0018242D">
        <w:rPr>
          <w:rStyle w:val="cosearchterm"/>
          <w:color w:val="000000" w:themeColor="text1"/>
          <w:sz w:val="28"/>
          <w:szCs w:val="28"/>
          <w:bdr w:val="none" w:sz="0" w:space="0" w:color="auto" w:frame="1"/>
        </w:rPr>
        <w:t>612,</w:t>
      </w:r>
      <w:r w:rsidRPr="0018242D">
        <w:rPr>
          <w:rStyle w:val="apple-converted-space"/>
          <w:color w:val="000000" w:themeColor="text1"/>
          <w:sz w:val="28"/>
          <w:szCs w:val="28"/>
          <w:bdr w:val="none" w:sz="0" w:space="0" w:color="auto" w:frame="1"/>
        </w:rPr>
        <w:t> </w:t>
      </w:r>
      <w:r w:rsidRPr="0018242D">
        <w:rPr>
          <w:rStyle w:val="cosearchterm"/>
          <w:color w:val="000000" w:themeColor="text1"/>
          <w:sz w:val="28"/>
          <w:szCs w:val="28"/>
          <w:bdr w:val="none" w:sz="0" w:space="0" w:color="auto" w:frame="1"/>
        </w:rPr>
        <w:t>91</w:t>
      </w:r>
      <w:r w:rsidRPr="0018242D">
        <w:rPr>
          <w:rStyle w:val="apple-converted-space"/>
          <w:color w:val="000000" w:themeColor="text1"/>
          <w:sz w:val="28"/>
          <w:szCs w:val="28"/>
          <w:bdr w:val="none" w:sz="0" w:space="0" w:color="auto" w:frame="1"/>
        </w:rPr>
        <w:t> </w:t>
      </w:r>
      <w:r w:rsidRPr="0018242D">
        <w:rPr>
          <w:rStyle w:val="cosearchterm"/>
          <w:color w:val="000000" w:themeColor="text1"/>
          <w:sz w:val="28"/>
          <w:szCs w:val="28"/>
          <w:bdr w:val="none" w:sz="0" w:space="0" w:color="auto" w:frame="1"/>
        </w:rPr>
        <w:t>S.Ct.</w:t>
      </w:r>
      <w:r w:rsidRPr="0018242D">
        <w:rPr>
          <w:rStyle w:val="apple-converted-space"/>
          <w:color w:val="000000" w:themeColor="text1"/>
          <w:sz w:val="28"/>
          <w:szCs w:val="28"/>
          <w:bdr w:val="none" w:sz="0" w:space="0" w:color="auto" w:frame="1"/>
        </w:rPr>
        <w:t> </w:t>
      </w:r>
      <w:r w:rsidRPr="0018242D">
        <w:rPr>
          <w:rStyle w:val="cosearchterm"/>
          <w:color w:val="000000" w:themeColor="text1"/>
          <w:sz w:val="28"/>
          <w:szCs w:val="28"/>
          <w:bdr w:val="none" w:sz="0" w:space="0" w:color="auto" w:frame="1"/>
        </w:rPr>
        <w:t>2105,</w:t>
      </w:r>
      <w:r w:rsidRPr="0018242D">
        <w:rPr>
          <w:rStyle w:val="apple-converted-space"/>
          <w:color w:val="000000" w:themeColor="text1"/>
          <w:sz w:val="28"/>
          <w:szCs w:val="28"/>
          <w:bdr w:val="none" w:sz="0" w:space="0" w:color="auto" w:frame="1"/>
        </w:rPr>
        <w:t> </w:t>
      </w:r>
      <w:r w:rsidRPr="0018242D">
        <w:rPr>
          <w:rStyle w:val="cosearchterm"/>
          <w:color w:val="000000" w:themeColor="text1"/>
          <w:sz w:val="28"/>
          <w:szCs w:val="28"/>
          <w:bdr w:val="none" w:sz="0" w:space="0" w:color="auto" w:frame="1"/>
        </w:rPr>
        <w:t>29</w:t>
      </w:r>
      <w:r w:rsidRPr="0018242D">
        <w:rPr>
          <w:rStyle w:val="apple-converted-space"/>
          <w:color w:val="000000" w:themeColor="text1"/>
          <w:sz w:val="28"/>
          <w:szCs w:val="28"/>
          <w:bdr w:val="none" w:sz="0" w:space="0" w:color="auto" w:frame="1"/>
        </w:rPr>
        <w:t> </w:t>
      </w:r>
      <w:r w:rsidRPr="0018242D">
        <w:rPr>
          <w:rStyle w:val="cosearchterm"/>
          <w:color w:val="000000" w:themeColor="text1"/>
          <w:sz w:val="28"/>
          <w:szCs w:val="28"/>
          <w:bdr w:val="none" w:sz="0" w:space="0" w:color="auto" w:frame="1"/>
        </w:rPr>
        <w:t>L.Ed.2d</w:t>
      </w:r>
      <w:r w:rsidRPr="0018242D">
        <w:rPr>
          <w:rStyle w:val="apple-converted-space"/>
          <w:color w:val="000000" w:themeColor="text1"/>
          <w:sz w:val="28"/>
          <w:szCs w:val="28"/>
          <w:bdr w:val="none" w:sz="0" w:space="0" w:color="auto" w:frame="1"/>
        </w:rPr>
        <w:t> </w:t>
      </w:r>
      <w:r w:rsidRPr="0018242D">
        <w:rPr>
          <w:rStyle w:val="cosearchterm"/>
          <w:color w:val="000000" w:themeColor="text1"/>
          <w:sz w:val="28"/>
          <w:szCs w:val="28"/>
          <w:bdr w:val="none" w:sz="0" w:space="0" w:color="auto" w:frame="1"/>
        </w:rPr>
        <w:t>745</w:t>
      </w:r>
      <w:r w:rsidRPr="0018242D">
        <w:rPr>
          <w:rStyle w:val="apple-converted-space"/>
          <w:color w:val="000000" w:themeColor="text1"/>
          <w:sz w:val="28"/>
          <w:szCs w:val="28"/>
          <w:bdr w:val="none" w:sz="0" w:space="0" w:color="auto" w:frame="1"/>
        </w:rPr>
        <w:t> </w:t>
      </w:r>
      <w:r w:rsidRPr="0018242D">
        <w:rPr>
          <w:rStyle w:val="cosearchterm"/>
          <w:color w:val="000000" w:themeColor="text1"/>
          <w:sz w:val="28"/>
          <w:szCs w:val="28"/>
          <w:bdr w:val="none" w:sz="0" w:space="0" w:color="auto" w:frame="1"/>
        </w:rPr>
        <w:t>(1971)</w:t>
      </w:r>
      <w:r w:rsidRPr="0018242D">
        <w:rPr>
          <w:color w:val="000000" w:themeColor="text1"/>
          <w:sz w:val="28"/>
          <w:szCs w:val="28"/>
          <w:shd w:val="clear" w:color="auto" w:fill="FFFFFF"/>
        </w:rPr>
        <w:t xml:space="preserve">).] </w:t>
      </w:r>
    </w:p>
    <w:p w:rsidR="0018242D" w:rsidRPr="0018242D" w:rsidRDefault="0018242D" w:rsidP="004334D2">
      <w:pPr>
        <w:spacing w:line="480" w:lineRule="auto"/>
        <w:ind w:firstLine="720"/>
        <w:jc w:val="both"/>
        <w:rPr>
          <w:color w:val="000000" w:themeColor="text1"/>
          <w:sz w:val="28"/>
          <w:szCs w:val="28"/>
          <w:shd w:val="clear" w:color="auto" w:fill="FFFFFF"/>
        </w:rPr>
      </w:pPr>
      <w:r w:rsidRPr="0018242D">
        <w:rPr>
          <w:color w:val="000000" w:themeColor="text1"/>
          <w:sz w:val="28"/>
          <w:szCs w:val="28"/>
          <w:shd w:val="clear" w:color="auto" w:fill="FFFFFF"/>
        </w:rPr>
        <w:t>Under the</w:t>
      </w:r>
      <w:r w:rsidRPr="0018242D">
        <w:rPr>
          <w:rStyle w:val="apple-converted-space"/>
          <w:color w:val="000000" w:themeColor="text1"/>
          <w:sz w:val="28"/>
          <w:szCs w:val="28"/>
          <w:shd w:val="clear" w:color="auto" w:fill="FFFFFF"/>
        </w:rPr>
        <w:t> </w:t>
      </w:r>
      <w:r w:rsidRPr="0018242D">
        <w:rPr>
          <w:rStyle w:val="cosearchterm"/>
          <w:color w:val="000000" w:themeColor="text1"/>
          <w:sz w:val="28"/>
          <w:szCs w:val="28"/>
          <w:bdr w:val="none" w:sz="0" w:space="0" w:color="auto" w:frame="1"/>
        </w:rPr>
        <w:t>Lemon</w:t>
      </w:r>
      <w:r w:rsidRPr="0018242D">
        <w:rPr>
          <w:rStyle w:val="apple-converted-space"/>
          <w:color w:val="000000" w:themeColor="text1"/>
          <w:sz w:val="28"/>
          <w:szCs w:val="28"/>
          <w:shd w:val="clear" w:color="auto" w:fill="FFFFFF"/>
        </w:rPr>
        <w:t> </w:t>
      </w:r>
      <w:r w:rsidRPr="0018242D">
        <w:rPr>
          <w:color w:val="000000" w:themeColor="text1"/>
          <w:sz w:val="28"/>
          <w:szCs w:val="28"/>
          <w:shd w:val="clear" w:color="auto" w:fill="FFFFFF"/>
        </w:rPr>
        <w:t xml:space="preserve">test, a government action violates the Establishment Clause if (1) it lacks a “secular legislative purpose,” (2) “its principal or primary effect” is to “advance     [or] </w:t>
      </w:r>
      <w:proofErr w:type="gramStart"/>
      <w:r w:rsidRPr="0018242D">
        <w:rPr>
          <w:color w:val="000000" w:themeColor="text1"/>
          <w:sz w:val="28"/>
          <w:szCs w:val="28"/>
          <w:shd w:val="clear" w:color="auto" w:fill="FFFFFF"/>
        </w:rPr>
        <w:t>inhibit[</w:t>
      </w:r>
      <w:proofErr w:type="gramEnd"/>
      <w:r w:rsidRPr="0018242D">
        <w:rPr>
          <w:color w:val="000000" w:themeColor="text1"/>
          <w:sz w:val="28"/>
          <w:szCs w:val="28"/>
          <w:shd w:val="clear" w:color="auto" w:fill="FFFFFF"/>
        </w:rPr>
        <w:t xml:space="preserve"> ] religion,” or (3) it</w:t>
      </w:r>
      <w:r w:rsidRPr="0018242D">
        <w:rPr>
          <w:rStyle w:val="apple-converted-space"/>
          <w:color w:val="000000" w:themeColor="text1"/>
          <w:sz w:val="28"/>
          <w:szCs w:val="28"/>
          <w:shd w:val="clear" w:color="auto" w:fill="FFFFFF"/>
        </w:rPr>
        <w:t> </w:t>
      </w:r>
      <w:r w:rsidRPr="0018242D">
        <w:rPr>
          <w:rStyle w:val="cohighlightpoints"/>
          <w:color w:val="000000" w:themeColor="text1"/>
          <w:sz w:val="28"/>
          <w:szCs w:val="28"/>
          <w:bdr w:val="none" w:sz="0" w:space="0" w:color="auto" w:frame="1"/>
        </w:rPr>
        <w:t>“foster[s] an excessive government entanglement with religion.”</w:t>
      </w:r>
      <w:r w:rsidRPr="0018242D">
        <w:rPr>
          <w:rStyle w:val="apple-converted-space"/>
          <w:color w:val="000000" w:themeColor="text1"/>
          <w:sz w:val="28"/>
          <w:szCs w:val="28"/>
          <w:shd w:val="clear" w:color="auto" w:fill="FFFFFF"/>
        </w:rPr>
        <w:t> [</w:t>
      </w:r>
      <w:r w:rsidRPr="0018242D">
        <w:rPr>
          <w:rStyle w:val="counderline"/>
          <w:i/>
          <w:iCs/>
          <w:color w:val="000000" w:themeColor="text1"/>
          <w:sz w:val="28"/>
          <w:szCs w:val="28"/>
          <w:bdr w:val="none" w:sz="0" w:space="0" w:color="auto" w:frame="1"/>
        </w:rPr>
        <w:t>Lemon</w:t>
      </w:r>
      <w:r w:rsidRPr="0018242D">
        <w:rPr>
          <w:rStyle w:val="cosearchterm"/>
          <w:color w:val="000000" w:themeColor="text1"/>
          <w:sz w:val="28"/>
          <w:szCs w:val="28"/>
          <w:bdr w:val="none" w:sz="0" w:space="0" w:color="auto" w:frame="1"/>
        </w:rPr>
        <w:t>,</w:t>
      </w:r>
      <w:r w:rsidRPr="0018242D">
        <w:rPr>
          <w:rStyle w:val="apple-converted-space"/>
          <w:color w:val="000000" w:themeColor="text1"/>
          <w:sz w:val="28"/>
          <w:szCs w:val="28"/>
          <w:bdr w:val="none" w:sz="0" w:space="0" w:color="auto" w:frame="1"/>
        </w:rPr>
        <w:t> </w:t>
      </w:r>
      <w:r w:rsidRPr="0018242D">
        <w:rPr>
          <w:rStyle w:val="cosearchterm"/>
          <w:color w:val="000000" w:themeColor="text1"/>
          <w:sz w:val="28"/>
          <w:szCs w:val="28"/>
          <w:bdr w:val="none" w:sz="0" w:space="0" w:color="auto" w:frame="1"/>
        </w:rPr>
        <w:t>403 U.S.</w:t>
      </w:r>
      <w:r w:rsidRPr="0018242D">
        <w:rPr>
          <w:rStyle w:val="apple-converted-space"/>
          <w:color w:val="000000" w:themeColor="text1"/>
          <w:sz w:val="28"/>
          <w:szCs w:val="28"/>
          <w:bdr w:val="none" w:sz="0" w:space="0" w:color="auto" w:frame="1"/>
        </w:rPr>
        <w:t> </w:t>
      </w:r>
      <w:r w:rsidRPr="0018242D">
        <w:rPr>
          <w:rStyle w:val="cosearchterm"/>
          <w:color w:val="000000" w:themeColor="text1"/>
          <w:sz w:val="28"/>
          <w:szCs w:val="28"/>
          <w:bdr w:val="none" w:sz="0" w:space="0" w:color="auto" w:frame="1"/>
        </w:rPr>
        <w:t>at</w:t>
      </w:r>
      <w:r w:rsidRPr="0018242D">
        <w:rPr>
          <w:rStyle w:val="apple-converted-space"/>
          <w:color w:val="000000" w:themeColor="text1"/>
          <w:sz w:val="28"/>
          <w:szCs w:val="28"/>
          <w:bdr w:val="none" w:sz="0" w:space="0" w:color="auto" w:frame="1"/>
        </w:rPr>
        <w:t> </w:t>
      </w:r>
      <w:r w:rsidRPr="0018242D">
        <w:rPr>
          <w:rStyle w:val="cosearchterm"/>
          <w:color w:val="000000" w:themeColor="text1"/>
          <w:sz w:val="28"/>
          <w:szCs w:val="28"/>
          <w:bdr w:val="none" w:sz="0" w:space="0" w:color="auto" w:frame="1"/>
        </w:rPr>
        <w:t xml:space="preserve">612–613 </w:t>
      </w:r>
      <w:r w:rsidRPr="0018242D">
        <w:rPr>
          <w:color w:val="000000" w:themeColor="text1"/>
          <w:sz w:val="28"/>
          <w:szCs w:val="28"/>
          <w:shd w:val="clear" w:color="auto" w:fill="FFFFFF"/>
        </w:rPr>
        <w:t>(internal quotation marks omitted).]</w:t>
      </w:r>
    </w:p>
    <w:p w:rsidR="0018242D" w:rsidRPr="0018242D" w:rsidRDefault="0018242D" w:rsidP="004334D2">
      <w:pPr>
        <w:spacing w:line="480" w:lineRule="auto"/>
        <w:ind w:firstLine="720"/>
        <w:jc w:val="both"/>
        <w:rPr>
          <w:color w:val="000000" w:themeColor="text1"/>
          <w:sz w:val="28"/>
          <w:szCs w:val="28"/>
          <w:shd w:val="clear" w:color="auto" w:fill="FFFFFF"/>
        </w:rPr>
      </w:pPr>
      <w:r w:rsidRPr="0018242D">
        <w:rPr>
          <w:color w:val="000000" w:themeColor="text1"/>
          <w:sz w:val="28"/>
          <w:szCs w:val="28"/>
          <w:shd w:val="clear" w:color="auto" w:fill="FFFFFF"/>
        </w:rPr>
        <w:t xml:space="preserve">First, there can be no reasonable dispute that the Orders </w:t>
      </w:r>
      <w:proofErr w:type="gramStart"/>
      <w:r w:rsidRPr="0018242D">
        <w:rPr>
          <w:color w:val="000000" w:themeColor="text1"/>
          <w:sz w:val="28"/>
          <w:szCs w:val="28"/>
          <w:shd w:val="clear" w:color="auto" w:fill="FFFFFF"/>
        </w:rPr>
        <w:t>Against</w:t>
      </w:r>
      <w:proofErr w:type="gramEnd"/>
      <w:r w:rsidRPr="0018242D">
        <w:rPr>
          <w:color w:val="000000" w:themeColor="text1"/>
          <w:sz w:val="28"/>
          <w:szCs w:val="28"/>
          <w:shd w:val="clear" w:color="auto" w:fill="FFFFFF"/>
        </w:rPr>
        <w:t xml:space="preserve"> Public Gatherings have secular legislative purpose. Under </w:t>
      </w:r>
      <w:r w:rsidRPr="0018242D">
        <w:rPr>
          <w:i/>
          <w:iCs/>
          <w:color w:val="000000" w:themeColor="text1"/>
          <w:sz w:val="28"/>
          <w:szCs w:val="28"/>
          <w:shd w:val="clear" w:color="auto" w:fill="FFFFFF"/>
        </w:rPr>
        <w:t>Lemon's</w:t>
      </w:r>
      <w:r w:rsidRPr="0018242D">
        <w:rPr>
          <w:color w:val="000000" w:themeColor="text1"/>
          <w:sz w:val="28"/>
          <w:szCs w:val="28"/>
          <w:shd w:val="clear" w:color="auto" w:fill="FFFFFF"/>
        </w:rPr>
        <w:t xml:space="preserve"> “purpose” inquiry, the Court assesses the underlying purpose of the government action from the vantage point of “an ‘objective observer’ ” who is “presumed to be familiar with the history of the government's actions and competent to learn what history has to show.” [</w:t>
      </w:r>
      <w:r w:rsidRPr="0018242D">
        <w:rPr>
          <w:i/>
          <w:iCs/>
          <w:color w:val="000000" w:themeColor="text1"/>
          <w:sz w:val="28"/>
          <w:szCs w:val="28"/>
          <w:shd w:val="clear" w:color="auto" w:fill="FFFFFF"/>
        </w:rPr>
        <w:t xml:space="preserve">McCreary </w:t>
      </w:r>
      <w:proofErr w:type="spellStart"/>
      <w:r w:rsidRPr="0018242D">
        <w:rPr>
          <w:i/>
          <w:iCs/>
          <w:color w:val="000000" w:themeColor="text1"/>
          <w:sz w:val="28"/>
          <w:szCs w:val="28"/>
          <w:shd w:val="clear" w:color="auto" w:fill="FFFFFF"/>
        </w:rPr>
        <w:t>Cty</w:t>
      </w:r>
      <w:proofErr w:type="spellEnd"/>
      <w:r w:rsidRPr="0018242D">
        <w:rPr>
          <w:i/>
          <w:iCs/>
          <w:color w:val="000000" w:themeColor="text1"/>
          <w:sz w:val="28"/>
          <w:szCs w:val="28"/>
          <w:shd w:val="clear" w:color="auto" w:fill="FFFFFF"/>
        </w:rPr>
        <w:t>., Ky. v. Am. Civil Liberties Union of Ky.,</w:t>
      </w:r>
      <w:r w:rsidRPr="0018242D">
        <w:rPr>
          <w:color w:val="000000" w:themeColor="text1"/>
          <w:sz w:val="28"/>
          <w:szCs w:val="28"/>
          <w:shd w:val="clear" w:color="auto" w:fill="FFFFFF"/>
        </w:rPr>
        <w:t xml:space="preserve"> 545 U.S. 844, 862, 866 (2005) (quoting </w:t>
      </w:r>
      <w:r w:rsidRPr="0018242D">
        <w:rPr>
          <w:i/>
          <w:iCs/>
          <w:color w:val="000000" w:themeColor="text1"/>
          <w:sz w:val="28"/>
          <w:szCs w:val="28"/>
          <w:shd w:val="clear" w:color="auto" w:fill="FFFFFF"/>
        </w:rPr>
        <w:t xml:space="preserve">Santa Fe </w:t>
      </w:r>
      <w:proofErr w:type="spellStart"/>
      <w:r w:rsidRPr="0018242D">
        <w:rPr>
          <w:i/>
          <w:iCs/>
          <w:color w:val="000000" w:themeColor="text1"/>
          <w:sz w:val="28"/>
          <w:szCs w:val="28"/>
          <w:shd w:val="clear" w:color="auto" w:fill="FFFFFF"/>
        </w:rPr>
        <w:t>Indep</w:t>
      </w:r>
      <w:proofErr w:type="spellEnd"/>
      <w:r w:rsidRPr="0018242D">
        <w:rPr>
          <w:i/>
          <w:iCs/>
          <w:color w:val="000000" w:themeColor="text1"/>
          <w:sz w:val="28"/>
          <w:szCs w:val="28"/>
          <w:shd w:val="clear" w:color="auto" w:fill="FFFFFF"/>
        </w:rPr>
        <w:t>. Sch. Dist. v. Doe</w:t>
      </w:r>
      <w:r w:rsidRPr="0018242D">
        <w:rPr>
          <w:color w:val="000000" w:themeColor="text1"/>
          <w:sz w:val="28"/>
          <w:szCs w:val="28"/>
          <w:shd w:val="clear" w:color="auto" w:fill="FFFFFF"/>
        </w:rPr>
        <w:t xml:space="preserve">, 530 U.S. 290, 308 (2000)).] </w:t>
      </w:r>
    </w:p>
    <w:p w:rsidR="0018242D" w:rsidRPr="0018242D" w:rsidRDefault="0018242D" w:rsidP="004334D2">
      <w:pPr>
        <w:spacing w:line="480" w:lineRule="auto"/>
        <w:ind w:firstLine="720"/>
        <w:jc w:val="both"/>
        <w:rPr>
          <w:color w:val="000000" w:themeColor="text1"/>
          <w:sz w:val="28"/>
          <w:szCs w:val="28"/>
          <w:shd w:val="clear" w:color="auto" w:fill="FFFFFF"/>
        </w:rPr>
      </w:pPr>
      <w:r w:rsidRPr="0018242D">
        <w:rPr>
          <w:color w:val="000000" w:themeColor="text1"/>
          <w:sz w:val="28"/>
          <w:szCs w:val="28"/>
          <w:shd w:val="clear" w:color="auto" w:fill="FFFFFF"/>
        </w:rPr>
        <w:t>In assessing purpose, the Court may “</w:t>
      </w:r>
      <w:proofErr w:type="gramStart"/>
      <w:r w:rsidRPr="0018242D">
        <w:rPr>
          <w:color w:val="000000" w:themeColor="text1"/>
          <w:sz w:val="28"/>
          <w:szCs w:val="28"/>
          <w:shd w:val="clear" w:color="auto" w:fill="FFFFFF"/>
        </w:rPr>
        <w:t>take[</w:t>
      </w:r>
      <w:proofErr w:type="gramEnd"/>
      <w:r w:rsidRPr="0018242D">
        <w:rPr>
          <w:color w:val="000000" w:themeColor="text1"/>
          <w:sz w:val="28"/>
          <w:szCs w:val="28"/>
          <w:shd w:val="clear" w:color="auto" w:fill="FFFFFF"/>
        </w:rPr>
        <w:t xml:space="preserve"> ] account of the traditional external</w:t>
      </w:r>
      <w:r w:rsidR="004334D2">
        <w:rPr>
          <w:color w:val="000000" w:themeColor="text1"/>
          <w:sz w:val="28"/>
          <w:szCs w:val="28"/>
          <w:shd w:val="clear" w:color="auto" w:fill="FFFFFF"/>
        </w:rPr>
        <w:t xml:space="preserve"> signs that show up in the ‘</w:t>
      </w:r>
      <w:r w:rsidRPr="0018242D">
        <w:rPr>
          <w:color w:val="000000" w:themeColor="text1"/>
          <w:sz w:val="28"/>
          <w:szCs w:val="28"/>
          <w:shd w:val="clear" w:color="auto" w:fill="FFFFFF"/>
        </w:rPr>
        <w:t xml:space="preserve">“text, legislative history, and </w:t>
      </w:r>
      <w:r w:rsidR="004334D2">
        <w:rPr>
          <w:color w:val="000000" w:themeColor="text1"/>
          <w:sz w:val="28"/>
          <w:szCs w:val="28"/>
          <w:shd w:val="clear" w:color="auto" w:fill="FFFFFF"/>
        </w:rPr>
        <w:t>implementation of the statute,”</w:t>
      </w:r>
      <w:r w:rsidRPr="0018242D">
        <w:rPr>
          <w:color w:val="000000" w:themeColor="text1"/>
          <w:sz w:val="28"/>
          <w:szCs w:val="28"/>
          <w:shd w:val="clear" w:color="auto" w:fill="FFFFFF"/>
        </w:rPr>
        <w:t>’ or comparable official act.” [</w:t>
      </w:r>
      <w:r w:rsidRPr="0018242D">
        <w:rPr>
          <w:i/>
          <w:iCs/>
          <w:color w:val="000000" w:themeColor="text1"/>
          <w:sz w:val="28"/>
          <w:szCs w:val="28"/>
          <w:shd w:val="clear" w:color="auto" w:fill="FFFFFF"/>
        </w:rPr>
        <w:t>Id.</w:t>
      </w:r>
      <w:r w:rsidRPr="0018242D">
        <w:rPr>
          <w:color w:val="000000" w:themeColor="text1"/>
          <w:sz w:val="28"/>
          <w:szCs w:val="28"/>
          <w:shd w:val="clear" w:color="auto" w:fill="FFFFFF"/>
        </w:rPr>
        <w:t> at 862 (citation omitted); </w:t>
      </w:r>
      <w:r w:rsidRPr="0018242D">
        <w:rPr>
          <w:color w:val="000000" w:themeColor="text1"/>
          <w:sz w:val="28"/>
          <w:szCs w:val="28"/>
          <w:u w:val="single"/>
          <w:shd w:val="clear" w:color="auto" w:fill="FFFFFF"/>
        </w:rPr>
        <w:t>see also</w:t>
      </w:r>
      <w:r w:rsidRPr="0018242D">
        <w:rPr>
          <w:color w:val="000000" w:themeColor="text1"/>
          <w:sz w:val="28"/>
          <w:szCs w:val="28"/>
          <w:shd w:val="clear" w:color="auto" w:fill="FFFFFF"/>
        </w:rPr>
        <w:t> </w:t>
      </w:r>
      <w:r w:rsidRPr="0018242D">
        <w:rPr>
          <w:i/>
          <w:iCs/>
          <w:color w:val="000000" w:themeColor="text1"/>
          <w:sz w:val="28"/>
          <w:szCs w:val="28"/>
          <w:shd w:val="clear" w:color="auto" w:fill="FFFFFF"/>
        </w:rPr>
        <w:t xml:space="preserve">Edwards v. </w:t>
      </w:r>
      <w:proofErr w:type="spellStart"/>
      <w:r w:rsidRPr="0018242D">
        <w:rPr>
          <w:i/>
          <w:iCs/>
          <w:color w:val="000000" w:themeColor="text1"/>
          <w:sz w:val="28"/>
          <w:szCs w:val="28"/>
          <w:shd w:val="clear" w:color="auto" w:fill="FFFFFF"/>
        </w:rPr>
        <w:t>Aguillard</w:t>
      </w:r>
      <w:proofErr w:type="spellEnd"/>
      <w:r w:rsidRPr="0018242D">
        <w:rPr>
          <w:color w:val="000000" w:themeColor="text1"/>
          <w:sz w:val="28"/>
          <w:szCs w:val="28"/>
          <w:shd w:val="clear" w:color="auto" w:fill="FFFFFF"/>
        </w:rPr>
        <w:t xml:space="preserve">, 482 U.S. 578, 594–95 (1987) (noting that the Court's inquiry looks to the “plain meaning of the statute's words, enlightened by their context and the contemporaneous legislative history </w:t>
      </w:r>
      <w:r w:rsidRPr="0018242D">
        <w:rPr>
          <w:color w:val="000000" w:themeColor="text1"/>
          <w:sz w:val="28"/>
          <w:szCs w:val="28"/>
          <w:shd w:val="clear" w:color="auto" w:fill="FFFFFF"/>
        </w:rPr>
        <w:lastRenderedPageBreak/>
        <w:t xml:space="preserve">[and] the historical context of the statute, ... and the specific sequence of events leading to [its] passage”).] </w:t>
      </w:r>
    </w:p>
    <w:p w:rsidR="0018242D" w:rsidRPr="0018242D" w:rsidRDefault="004334D2" w:rsidP="00B57C85">
      <w:pPr>
        <w:spacing w:line="480" w:lineRule="auto"/>
        <w:jc w:val="both"/>
        <w:rPr>
          <w:color w:val="000000" w:themeColor="text1"/>
          <w:sz w:val="28"/>
          <w:szCs w:val="28"/>
        </w:rPr>
      </w:pPr>
      <w:r>
        <w:rPr>
          <w:color w:val="000000" w:themeColor="text1"/>
          <w:sz w:val="28"/>
          <w:szCs w:val="28"/>
        </w:rPr>
        <w:tab/>
      </w:r>
      <w:r w:rsidR="0018242D" w:rsidRPr="0018242D">
        <w:rPr>
          <w:color w:val="000000" w:themeColor="text1"/>
          <w:sz w:val="28"/>
          <w:szCs w:val="28"/>
        </w:rPr>
        <w:t>Crucially, “although a [legislative body's] stated reasons will generally get deference, the secular purpose required has to be genuine, not a sham, and not merely secondary to a religious objective.” [</w:t>
      </w:r>
      <w:r w:rsidR="0018242D" w:rsidRPr="0018242D">
        <w:rPr>
          <w:i/>
          <w:iCs/>
          <w:color w:val="000000" w:themeColor="text1"/>
          <w:sz w:val="28"/>
          <w:szCs w:val="28"/>
        </w:rPr>
        <w:t>McCreary</w:t>
      </w:r>
      <w:r w:rsidR="0018242D" w:rsidRPr="0018242D">
        <w:rPr>
          <w:color w:val="000000" w:themeColor="text1"/>
          <w:sz w:val="28"/>
          <w:szCs w:val="28"/>
        </w:rPr>
        <w:t>, 545 U.S. at 864 (citing </w:t>
      </w:r>
      <w:r w:rsidR="0018242D" w:rsidRPr="0018242D">
        <w:rPr>
          <w:i/>
          <w:iCs/>
          <w:color w:val="000000" w:themeColor="text1"/>
          <w:sz w:val="28"/>
          <w:szCs w:val="28"/>
        </w:rPr>
        <w:t>Santa Fe</w:t>
      </w:r>
      <w:r w:rsidR="0018242D" w:rsidRPr="0018242D">
        <w:rPr>
          <w:color w:val="000000" w:themeColor="text1"/>
          <w:sz w:val="28"/>
          <w:szCs w:val="28"/>
        </w:rPr>
        <w:t>, 530 U.S. at 308, (“When a governmental entity professes a secular purpose for an arguably religious policy, the government's characterization is, of course, entitled to some deference. But it is nonetheless the duty of the courts to '</w:t>
      </w:r>
      <w:proofErr w:type="spellStart"/>
      <w:r w:rsidR="0018242D" w:rsidRPr="0018242D">
        <w:rPr>
          <w:color w:val="000000" w:themeColor="text1"/>
          <w:sz w:val="28"/>
          <w:szCs w:val="28"/>
        </w:rPr>
        <w:t>distinguis</w:t>
      </w:r>
      <w:proofErr w:type="spellEnd"/>
      <w:r w:rsidR="0018242D" w:rsidRPr="0018242D">
        <w:rPr>
          <w:color w:val="000000" w:themeColor="text1"/>
          <w:sz w:val="28"/>
          <w:szCs w:val="28"/>
        </w:rPr>
        <w:t>[h] a sham secular purpose from a sincere one.' ”)).</w:t>
      </w:r>
    </w:p>
    <w:p w:rsidR="0018242D" w:rsidRPr="0018242D" w:rsidRDefault="004334D2" w:rsidP="00B57C85">
      <w:pPr>
        <w:spacing w:line="480" w:lineRule="auto"/>
        <w:jc w:val="both"/>
        <w:rPr>
          <w:color w:val="000000" w:themeColor="text1"/>
          <w:sz w:val="28"/>
          <w:szCs w:val="28"/>
        </w:rPr>
      </w:pPr>
      <w:r>
        <w:rPr>
          <w:color w:val="000000" w:themeColor="text1"/>
          <w:sz w:val="28"/>
          <w:szCs w:val="28"/>
        </w:rPr>
        <w:tab/>
      </w:r>
      <w:r w:rsidR="0018242D" w:rsidRPr="0018242D">
        <w:rPr>
          <w:color w:val="000000" w:themeColor="text1"/>
          <w:sz w:val="28"/>
          <w:szCs w:val="28"/>
        </w:rPr>
        <w:t xml:space="preserve">Here, there is absolutely no doubt that the Orders </w:t>
      </w:r>
      <w:proofErr w:type="gramStart"/>
      <w:r w:rsidR="0018242D" w:rsidRPr="0018242D">
        <w:rPr>
          <w:color w:val="000000" w:themeColor="text1"/>
          <w:sz w:val="28"/>
          <w:szCs w:val="28"/>
        </w:rPr>
        <w:t>Against</w:t>
      </w:r>
      <w:proofErr w:type="gramEnd"/>
      <w:r w:rsidR="0018242D" w:rsidRPr="0018242D">
        <w:rPr>
          <w:color w:val="000000" w:themeColor="text1"/>
          <w:sz w:val="28"/>
          <w:szCs w:val="28"/>
        </w:rPr>
        <w:t xml:space="preserve"> Public Gatherings are intended to have a secular legislative purpose – to slow down the spread of COVID-19 and to “flatten the curve</w:t>
      </w:r>
      <w:r w:rsidR="0018242D" w:rsidRPr="0072322F">
        <w:rPr>
          <w:color w:val="000000" w:themeColor="text1"/>
          <w:sz w:val="28"/>
          <w:szCs w:val="28"/>
        </w:rPr>
        <w:t xml:space="preserve">”.  </w:t>
      </w:r>
      <w:r w:rsidR="00D61DBC" w:rsidRPr="0072322F">
        <w:rPr>
          <w:rFonts w:eastAsia="Calibri"/>
          <w:sz w:val="28"/>
          <w:szCs w:val="28"/>
        </w:rPr>
        <w:t>[</w:t>
      </w:r>
      <w:r w:rsidR="00D61DBC" w:rsidRPr="0072322F">
        <w:rPr>
          <w:rFonts w:eastAsia="Calibri"/>
          <w:i/>
          <w:iCs/>
          <w:sz w:val="28"/>
          <w:szCs w:val="28"/>
        </w:rPr>
        <w:t xml:space="preserve">See, </w:t>
      </w:r>
      <w:r w:rsidR="00D61DBC" w:rsidRPr="0072322F">
        <w:rPr>
          <w:rFonts w:eastAsia="Calibri"/>
          <w:sz w:val="28"/>
          <w:szCs w:val="28"/>
        </w:rPr>
        <w:t>Kaiser Declaration</w:t>
      </w:r>
      <w:r w:rsidR="0072322F">
        <w:rPr>
          <w:rFonts w:eastAsia="Calibri"/>
          <w:sz w:val="28"/>
          <w:szCs w:val="28"/>
        </w:rPr>
        <w:t xml:space="preserve">, Paragraph </w:t>
      </w:r>
      <w:r w:rsidR="0072322F" w:rsidRPr="0072322F">
        <w:rPr>
          <w:rFonts w:eastAsia="Calibri"/>
          <w:sz w:val="28"/>
          <w:szCs w:val="28"/>
        </w:rPr>
        <w:t xml:space="preserve">12, Page 6, </w:t>
      </w:r>
      <w:proofErr w:type="gramStart"/>
      <w:r w:rsidR="0072322F" w:rsidRPr="0072322F">
        <w:rPr>
          <w:rFonts w:eastAsia="Calibri"/>
          <w:sz w:val="28"/>
          <w:szCs w:val="28"/>
        </w:rPr>
        <w:t>Lines</w:t>
      </w:r>
      <w:proofErr w:type="gramEnd"/>
      <w:r w:rsidR="0072322F" w:rsidRPr="0072322F">
        <w:rPr>
          <w:rFonts w:eastAsia="Calibri"/>
          <w:sz w:val="28"/>
          <w:szCs w:val="28"/>
        </w:rPr>
        <w:t xml:space="preserve"> 12-21</w:t>
      </w:r>
      <w:r w:rsidR="00D61DBC" w:rsidRPr="0072322F">
        <w:rPr>
          <w:rFonts w:eastAsia="Calibri"/>
          <w:sz w:val="28"/>
          <w:szCs w:val="28"/>
        </w:rPr>
        <w:t xml:space="preserve">.] </w:t>
      </w:r>
      <w:r w:rsidR="0018242D" w:rsidRPr="0072322F">
        <w:rPr>
          <w:color w:val="000000" w:themeColor="text1"/>
          <w:sz w:val="28"/>
          <w:szCs w:val="28"/>
        </w:rPr>
        <w:t>The number</w:t>
      </w:r>
      <w:r w:rsidR="0018242D" w:rsidRPr="0018242D">
        <w:rPr>
          <w:color w:val="000000" w:themeColor="text1"/>
          <w:sz w:val="28"/>
          <w:szCs w:val="28"/>
        </w:rPr>
        <w:t xml:space="preserve"> of hospitalizations and deaths alone clearly support a finding that there is a genuine secular purpose in issuing the Orders </w:t>
      </w:r>
      <w:proofErr w:type="gramStart"/>
      <w:r w:rsidR="0018242D" w:rsidRPr="0018242D">
        <w:rPr>
          <w:color w:val="000000" w:themeColor="text1"/>
          <w:sz w:val="28"/>
          <w:szCs w:val="28"/>
        </w:rPr>
        <w:t>Against</w:t>
      </w:r>
      <w:proofErr w:type="gramEnd"/>
      <w:r w:rsidR="0018242D" w:rsidRPr="0018242D">
        <w:rPr>
          <w:color w:val="000000" w:themeColor="text1"/>
          <w:sz w:val="28"/>
          <w:szCs w:val="28"/>
        </w:rPr>
        <w:t xml:space="preserve"> Public Gatherings. Moreover, this Court can objectively review the specific sequence of order</w:t>
      </w:r>
      <w:r>
        <w:rPr>
          <w:color w:val="000000" w:themeColor="text1"/>
          <w:sz w:val="28"/>
          <w:szCs w:val="28"/>
        </w:rPr>
        <w:t>s from the federal government, S</w:t>
      </w:r>
      <w:r w:rsidR="0018242D" w:rsidRPr="0018242D">
        <w:rPr>
          <w:color w:val="000000" w:themeColor="text1"/>
          <w:sz w:val="28"/>
          <w:szCs w:val="28"/>
        </w:rPr>
        <w:t xml:space="preserve">tate government and the County to determine that a secular legislative intent exists in support of the Orders </w:t>
      </w:r>
      <w:proofErr w:type="gramStart"/>
      <w:r w:rsidR="0018242D" w:rsidRPr="0018242D">
        <w:rPr>
          <w:color w:val="000000" w:themeColor="text1"/>
          <w:sz w:val="28"/>
          <w:szCs w:val="28"/>
        </w:rPr>
        <w:t>Against</w:t>
      </w:r>
      <w:proofErr w:type="gramEnd"/>
      <w:r w:rsidR="0018242D" w:rsidRPr="0018242D">
        <w:rPr>
          <w:color w:val="000000" w:themeColor="text1"/>
          <w:sz w:val="28"/>
          <w:szCs w:val="28"/>
        </w:rPr>
        <w:t xml:space="preserve"> Public Gatherings. </w:t>
      </w:r>
    </w:p>
    <w:p w:rsidR="0018242D" w:rsidRPr="0018242D" w:rsidRDefault="00D61DBC" w:rsidP="00B57C85">
      <w:pPr>
        <w:spacing w:line="480" w:lineRule="auto"/>
        <w:jc w:val="both"/>
        <w:rPr>
          <w:color w:val="000000" w:themeColor="text1"/>
          <w:sz w:val="28"/>
          <w:szCs w:val="28"/>
        </w:rPr>
      </w:pPr>
      <w:r>
        <w:rPr>
          <w:color w:val="000000" w:themeColor="text1"/>
          <w:sz w:val="28"/>
          <w:szCs w:val="28"/>
        </w:rPr>
        <w:tab/>
      </w:r>
      <w:r w:rsidR="0018242D" w:rsidRPr="0018242D">
        <w:rPr>
          <w:color w:val="000000" w:themeColor="text1"/>
          <w:sz w:val="28"/>
          <w:szCs w:val="28"/>
        </w:rPr>
        <w:t xml:space="preserve">With respect to the second and third prong of the </w:t>
      </w:r>
      <w:r w:rsidR="0018242D" w:rsidRPr="0018242D">
        <w:rPr>
          <w:i/>
          <w:iCs/>
          <w:color w:val="000000" w:themeColor="text1"/>
          <w:sz w:val="28"/>
          <w:szCs w:val="28"/>
        </w:rPr>
        <w:t xml:space="preserve">Lemon </w:t>
      </w:r>
      <w:r w:rsidR="0018242D" w:rsidRPr="0018242D">
        <w:rPr>
          <w:color w:val="000000" w:themeColor="text1"/>
          <w:sz w:val="28"/>
          <w:szCs w:val="28"/>
        </w:rPr>
        <w:t xml:space="preserve">test, the principal effect of the Orders </w:t>
      </w:r>
      <w:proofErr w:type="gramStart"/>
      <w:r w:rsidR="0018242D" w:rsidRPr="0018242D">
        <w:rPr>
          <w:color w:val="000000" w:themeColor="text1"/>
          <w:sz w:val="28"/>
          <w:szCs w:val="28"/>
        </w:rPr>
        <w:t>Against</w:t>
      </w:r>
      <w:proofErr w:type="gramEnd"/>
      <w:r w:rsidR="0018242D" w:rsidRPr="0018242D">
        <w:rPr>
          <w:color w:val="000000" w:themeColor="text1"/>
          <w:sz w:val="28"/>
          <w:szCs w:val="28"/>
        </w:rPr>
        <w:t xml:space="preserve"> Public Gatherings is not to effect the advance of religion. Under </w:t>
      </w:r>
      <w:r w:rsidR="0018242D" w:rsidRPr="0018242D">
        <w:rPr>
          <w:i/>
          <w:iCs/>
          <w:color w:val="000000" w:themeColor="text1"/>
          <w:sz w:val="28"/>
          <w:szCs w:val="28"/>
        </w:rPr>
        <w:t>Lemon's</w:t>
      </w:r>
      <w:r w:rsidR="0018242D" w:rsidRPr="0018242D">
        <w:rPr>
          <w:color w:val="000000" w:themeColor="text1"/>
          <w:sz w:val="28"/>
          <w:szCs w:val="28"/>
        </w:rPr>
        <w:t xml:space="preserve"> second prong, a “[g]</w:t>
      </w:r>
      <w:proofErr w:type="spellStart"/>
      <w:r w:rsidR="0018242D" w:rsidRPr="0018242D">
        <w:rPr>
          <w:color w:val="000000" w:themeColor="text1"/>
          <w:sz w:val="28"/>
          <w:szCs w:val="28"/>
        </w:rPr>
        <w:t>overnmental</w:t>
      </w:r>
      <w:proofErr w:type="spellEnd"/>
      <w:r w:rsidR="0018242D" w:rsidRPr="0018242D">
        <w:rPr>
          <w:color w:val="000000" w:themeColor="text1"/>
          <w:sz w:val="28"/>
          <w:szCs w:val="28"/>
        </w:rPr>
        <w:t xml:space="preserve"> </w:t>
      </w:r>
      <w:proofErr w:type="gramStart"/>
      <w:r w:rsidR="0018242D" w:rsidRPr="0018242D">
        <w:rPr>
          <w:color w:val="000000" w:themeColor="text1"/>
          <w:sz w:val="28"/>
          <w:szCs w:val="28"/>
        </w:rPr>
        <w:t>act[</w:t>
      </w:r>
      <w:proofErr w:type="gramEnd"/>
      <w:r w:rsidR="0018242D" w:rsidRPr="0018242D">
        <w:rPr>
          <w:color w:val="000000" w:themeColor="text1"/>
          <w:sz w:val="28"/>
          <w:szCs w:val="28"/>
        </w:rPr>
        <w:t xml:space="preserve"> ] has the primary effect of advancing or disapproving of religion if it is ‘sufficiently likely to be perceived by adherents of the controlling denominations as an endorsement, and by the </w:t>
      </w:r>
      <w:proofErr w:type="spellStart"/>
      <w:r w:rsidR="0018242D" w:rsidRPr="0018242D">
        <w:rPr>
          <w:color w:val="000000" w:themeColor="text1"/>
          <w:sz w:val="28"/>
          <w:szCs w:val="28"/>
        </w:rPr>
        <w:t>nonadherents</w:t>
      </w:r>
      <w:proofErr w:type="spellEnd"/>
      <w:r w:rsidR="0018242D" w:rsidRPr="0018242D">
        <w:rPr>
          <w:color w:val="000000" w:themeColor="text1"/>
          <w:sz w:val="28"/>
          <w:szCs w:val="28"/>
        </w:rPr>
        <w:t xml:space="preserve"> as a disapproval, of their </w:t>
      </w:r>
      <w:r w:rsidR="0018242D" w:rsidRPr="0018242D">
        <w:rPr>
          <w:color w:val="000000" w:themeColor="text1"/>
          <w:sz w:val="28"/>
          <w:szCs w:val="28"/>
        </w:rPr>
        <w:lastRenderedPageBreak/>
        <w:t>individual religious choices.’ ” [</w:t>
      </w:r>
      <w:r w:rsidR="0018242D" w:rsidRPr="0018242D">
        <w:rPr>
          <w:i/>
          <w:iCs/>
          <w:color w:val="000000" w:themeColor="text1"/>
          <w:sz w:val="28"/>
          <w:szCs w:val="28"/>
        </w:rPr>
        <w:t>Vasquez v. Los Angeles County</w:t>
      </w:r>
      <w:r w:rsidR="0018242D" w:rsidRPr="0018242D">
        <w:rPr>
          <w:color w:val="000000" w:themeColor="text1"/>
          <w:sz w:val="28"/>
          <w:szCs w:val="28"/>
        </w:rPr>
        <w:t>, 487 F.3d 1246, 1256 (9th Cir. 2007) (citation omitted); </w:t>
      </w:r>
      <w:r w:rsidR="0018242D" w:rsidRPr="0018242D">
        <w:rPr>
          <w:color w:val="000000" w:themeColor="text1"/>
          <w:sz w:val="28"/>
          <w:szCs w:val="28"/>
          <w:u w:val="single"/>
        </w:rPr>
        <w:t>see also</w:t>
      </w:r>
      <w:r w:rsidR="0018242D" w:rsidRPr="0018242D">
        <w:rPr>
          <w:color w:val="000000" w:themeColor="text1"/>
          <w:sz w:val="28"/>
          <w:szCs w:val="28"/>
        </w:rPr>
        <w:t> </w:t>
      </w:r>
      <w:r w:rsidR="0018242D" w:rsidRPr="0018242D">
        <w:rPr>
          <w:i/>
          <w:iCs/>
          <w:color w:val="000000" w:themeColor="text1"/>
          <w:sz w:val="28"/>
          <w:szCs w:val="28"/>
        </w:rPr>
        <w:t>Lynch v. Donnelly</w:t>
      </w:r>
      <w:r w:rsidR="0018242D" w:rsidRPr="0018242D">
        <w:rPr>
          <w:color w:val="000000" w:themeColor="text1"/>
          <w:sz w:val="28"/>
          <w:szCs w:val="28"/>
        </w:rPr>
        <w:t xml:space="preserve">, 465 U.S. 668, 690 (O'Connor, J., concurring) (“The effect prong asks whether, irrespective of government's actual purpose, the practice under review in fact conveys a message of endorsement or disapproval.”).] </w:t>
      </w:r>
    </w:p>
    <w:p w:rsidR="0018242D" w:rsidRPr="0018242D" w:rsidRDefault="0018242D" w:rsidP="00D61DBC">
      <w:pPr>
        <w:spacing w:line="480" w:lineRule="auto"/>
        <w:ind w:firstLine="720"/>
        <w:jc w:val="both"/>
        <w:rPr>
          <w:color w:val="000000" w:themeColor="text1"/>
          <w:sz w:val="28"/>
          <w:szCs w:val="28"/>
        </w:rPr>
      </w:pPr>
      <w:r w:rsidRPr="0018242D">
        <w:rPr>
          <w:color w:val="000000" w:themeColor="text1"/>
          <w:sz w:val="28"/>
          <w:szCs w:val="28"/>
        </w:rPr>
        <w:t>Under the </w:t>
      </w:r>
      <w:r w:rsidRPr="0018242D">
        <w:rPr>
          <w:i/>
          <w:iCs/>
          <w:color w:val="000000" w:themeColor="text1"/>
          <w:sz w:val="28"/>
          <w:szCs w:val="28"/>
        </w:rPr>
        <w:t>Lemon </w:t>
      </w:r>
      <w:r w:rsidRPr="0018242D">
        <w:rPr>
          <w:color w:val="000000" w:themeColor="text1"/>
          <w:sz w:val="28"/>
          <w:szCs w:val="28"/>
        </w:rPr>
        <w:t>test's third prong, a government action must not “</w:t>
      </w:r>
      <w:proofErr w:type="gramStart"/>
      <w:r w:rsidRPr="0018242D">
        <w:rPr>
          <w:color w:val="000000" w:themeColor="text1"/>
          <w:sz w:val="28"/>
          <w:szCs w:val="28"/>
        </w:rPr>
        <w:t>foster[</w:t>
      </w:r>
      <w:proofErr w:type="gramEnd"/>
      <w:r w:rsidRPr="0018242D">
        <w:rPr>
          <w:color w:val="000000" w:themeColor="text1"/>
          <w:sz w:val="28"/>
          <w:szCs w:val="28"/>
        </w:rPr>
        <w:t xml:space="preserve"> ] an excessive government entanglement with religion.” [</w:t>
      </w:r>
      <w:r w:rsidRPr="0018242D">
        <w:rPr>
          <w:i/>
          <w:iCs/>
          <w:color w:val="000000" w:themeColor="text1"/>
          <w:sz w:val="28"/>
          <w:szCs w:val="28"/>
        </w:rPr>
        <w:t xml:space="preserve">Santa Monica Nativity Scenes </w:t>
      </w:r>
      <w:proofErr w:type="spellStart"/>
      <w:r w:rsidRPr="0018242D">
        <w:rPr>
          <w:i/>
          <w:iCs/>
          <w:color w:val="000000" w:themeColor="text1"/>
          <w:sz w:val="28"/>
          <w:szCs w:val="28"/>
        </w:rPr>
        <w:t>Comm</w:t>
      </w:r>
      <w:proofErr w:type="spellEnd"/>
      <w:r w:rsidRPr="0018242D">
        <w:rPr>
          <w:color w:val="000000" w:themeColor="text1"/>
          <w:sz w:val="28"/>
          <w:szCs w:val="28"/>
          <w:u w:val="single"/>
        </w:rPr>
        <w:t>,</w:t>
      </w:r>
      <w:r w:rsidRPr="0018242D">
        <w:rPr>
          <w:color w:val="000000" w:themeColor="text1"/>
          <w:sz w:val="28"/>
          <w:szCs w:val="28"/>
        </w:rPr>
        <w:t xml:space="preserve"> 784 F.3d at 1299 (citation omitted).] While Plaintiffs do not adequately address either prong in their Complaint or in their TRO, “the Supreme Court essentially has collapsed </w:t>
      </w:r>
      <w:proofErr w:type="gramStart"/>
      <w:r w:rsidRPr="0018242D">
        <w:rPr>
          <w:color w:val="000000" w:themeColor="text1"/>
          <w:sz w:val="28"/>
          <w:szCs w:val="28"/>
        </w:rPr>
        <w:t>the[</w:t>
      </w:r>
      <w:proofErr w:type="gramEnd"/>
      <w:r w:rsidRPr="0018242D">
        <w:rPr>
          <w:color w:val="000000" w:themeColor="text1"/>
          <w:sz w:val="28"/>
          <w:szCs w:val="28"/>
        </w:rPr>
        <w:t xml:space="preserve"> ] last two prongs to ask whether the challenged governmental practice has the effect of endorsing religion.” [</w:t>
      </w:r>
      <w:r w:rsidRPr="0018242D">
        <w:rPr>
          <w:i/>
          <w:iCs/>
          <w:color w:val="000000" w:themeColor="text1"/>
          <w:sz w:val="28"/>
          <w:szCs w:val="28"/>
        </w:rPr>
        <w:t>Trunk</w:t>
      </w:r>
      <w:r w:rsidRPr="0018242D">
        <w:rPr>
          <w:color w:val="000000" w:themeColor="text1"/>
          <w:sz w:val="28"/>
          <w:szCs w:val="28"/>
        </w:rPr>
        <w:t xml:space="preserve"> v. </w:t>
      </w:r>
      <w:r w:rsidRPr="0018242D">
        <w:rPr>
          <w:i/>
          <w:iCs/>
          <w:color w:val="000000" w:themeColor="text1"/>
          <w:sz w:val="28"/>
          <w:szCs w:val="28"/>
        </w:rPr>
        <w:t>City of San Diego</w:t>
      </w:r>
      <w:r w:rsidRPr="0018242D">
        <w:rPr>
          <w:color w:val="000000" w:themeColor="text1"/>
          <w:sz w:val="28"/>
          <w:szCs w:val="28"/>
        </w:rPr>
        <w:t>, 629 F.3d 1099, 1106 (9th Cir. 2011) (internal quotation marks and citation omitted); </w:t>
      </w:r>
      <w:r w:rsidRPr="0018242D">
        <w:rPr>
          <w:color w:val="000000" w:themeColor="text1"/>
          <w:sz w:val="28"/>
          <w:szCs w:val="28"/>
          <w:u w:val="single"/>
        </w:rPr>
        <w:t>see also</w:t>
      </w:r>
      <w:r w:rsidRPr="0018242D">
        <w:rPr>
          <w:color w:val="000000" w:themeColor="text1"/>
          <w:sz w:val="28"/>
          <w:szCs w:val="28"/>
        </w:rPr>
        <w:t> </w:t>
      </w:r>
      <w:r w:rsidRPr="0018242D">
        <w:rPr>
          <w:i/>
          <w:iCs/>
          <w:color w:val="000000" w:themeColor="text1"/>
          <w:sz w:val="28"/>
          <w:szCs w:val="28"/>
          <w:u w:val="single"/>
        </w:rPr>
        <w:t>id.</w:t>
      </w:r>
      <w:r w:rsidRPr="0018242D">
        <w:rPr>
          <w:color w:val="000000" w:themeColor="text1"/>
          <w:sz w:val="28"/>
          <w:szCs w:val="28"/>
        </w:rPr>
        <w:t xml:space="preserve"> at 1109 (defining “endorsement” as “those acts that send the stigmatic message to </w:t>
      </w:r>
      <w:proofErr w:type="spellStart"/>
      <w:r w:rsidRPr="0018242D">
        <w:rPr>
          <w:color w:val="000000" w:themeColor="text1"/>
          <w:sz w:val="28"/>
          <w:szCs w:val="28"/>
        </w:rPr>
        <w:t>nonadherents</w:t>
      </w:r>
      <w:proofErr w:type="spellEnd"/>
      <w:r w:rsidRPr="0018242D">
        <w:rPr>
          <w:color w:val="000000" w:themeColor="text1"/>
          <w:sz w:val="28"/>
          <w:szCs w:val="28"/>
        </w:rPr>
        <w:t xml:space="preserve"> ‘that they are outsiders, not full members of the political community, and an accompanying message to adherents that they are insiders, favored members' ”) (citation omitted).]</w:t>
      </w:r>
    </w:p>
    <w:p w:rsidR="0018242D" w:rsidRPr="0018242D" w:rsidRDefault="00D61DBC" w:rsidP="00B57C85">
      <w:pPr>
        <w:spacing w:line="480" w:lineRule="auto"/>
        <w:jc w:val="both"/>
        <w:rPr>
          <w:color w:val="000000" w:themeColor="text1"/>
          <w:sz w:val="28"/>
          <w:szCs w:val="28"/>
        </w:rPr>
      </w:pPr>
      <w:r>
        <w:rPr>
          <w:color w:val="000000" w:themeColor="text1"/>
          <w:sz w:val="28"/>
          <w:szCs w:val="28"/>
        </w:rPr>
        <w:tab/>
      </w:r>
      <w:r w:rsidR="0018242D" w:rsidRPr="0018242D">
        <w:rPr>
          <w:color w:val="000000" w:themeColor="text1"/>
          <w:sz w:val="28"/>
          <w:szCs w:val="28"/>
        </w:rPr>
        <w:t xml:space="preserve">Again, the challenged governmental action in this TRO is the County’s Orders </w:t>
      </w:r>
      <w:proofErr w:type="gramStart"/>
      <w:r w:rsidR="0018242D" w:rsidRPr="0018242D">
        <w:rPr>
          <w:color w:val="000000" w:themeColor="text1"/>
          <w:sz w:val="28"/>
          <w:szCs w:val="28"/>
        </w:rPr>
        <w:t>Against</w:t>
      </w:r>
      <w:proofErr w:type="gramEnd"/>
      <w:r w:rsidR="0018242D" w:rsidRPr="0018242D">
        <w:rPr>
          <w:color w:val="000000" w:themeColor="text1"/>
          <w:sz w:val="28"/>
          <w:szCs w:val="28"/>
        </w:rPr>
        <w:t xml:space="preserve"> Public Gatherings, which are intended to slow down the spread of the COVID-19 pandemic.  </w:t>
      </w:r>
      <w:r w:rsidR="0072322F" w:rsidRPr="0072322F">
        <w:rPr>
          <w:rFonts w:eastAsia="Calibri"/>
          <w:sz w:val="28"/>
          <w:szCs w:val="28"/>
        </w:rPr>
        <w:t>[</w:t>
      </w:r>
      <w:r w:rsidR="0072322F" w:rsidRPr="0072322F">
        <w:rPr>
          <w:rFonts w:eastAsia="Calibri"/>
          <w:i/>
          <w:iCs/>
          <w:sz w:val="28"/>
          <w:szCs w:val="28"/>
        </w:rPr>
        <w:t xml:space="preserve">See, </w:t>
      </w:r>
      <w:r w:rsidR="0072322F" w:rsidRPr="0072322F">
        <w:rPr>
          <w:rFonts w:eastAsia="Calibri"/>
          <w:sz w:val="28"/>
          <w:szCs w:val="28"/>
        </w:rPr>
        <w:t>Kaiser Declaration</w:t>
      </w:r>
      <w:r w:rsidR="0072322F">
        <w:rPr>
          <w:rFonts w:eastAsia="Calibri"/>
          <w:sz w:val="28"/>
          <w:szCs w:val="28"/>
        </w:rPr>
        <w:t xml:space="preserve">, Paragraph </w:t>
      </w:r>
      <w:r w:rsidR="0072322F" w:rsidRPr="0072322F">
        <w:rPr>
          <w:rFonts w:eastAsia="Calibri"/>
          <w:sz w:val="28"/>
          <w:szCs w:val="28"/>
        </w:rPr>
        <w:t xml:space="preserve">12, Page 6, </w:t>
      </w:r>
      <w:proofErr w:type="gramStart"/>
      <w:r w:rsidR="0072322F" w:rsidRPr="0072322F">
        <w:rPr>
          <w:rFonts w:eastAsia="Calibri"/>
          <w:sz w:val="28"/>
          <w:szCs w:val="28"/>
        </w:rPr>
        <w:t>Lines</w:t>
      </w:r>
      <w:proofErr w:type="gramEnd"/>
      <w:r w:rsidR="0072322F" w:rsidRPr="0072322F">
        <w:rPr>
          <w:rFonts w:eastAsia="Calibri"/>
          <w:sz w:val="28"/>
          <w:szCs w:val="28"/>
        </w:rPr>
        <w:t xml:space="preserve"> 12-21.]</w:t>
      </w:r>
      <w:r w:rsidRPr="0018242D">
        <w:rPr>
          <w:rFonts w:eastAsia="Calibri"/>
          <w:sz w:val="28"/>
          <w:szCs w:val="28"/>
        </w:rPr>
        <w:t xml:space="preserve"> </w:t>
      </w:r>
      <w:r w:rsidR="0018242D" w:rsidRPr="0018242D">
        <w:rPr>
          <w:color w:val="000000" w:themeColor="text1"/>
          <w:sz w:val="28"/>
          <w:szCs w:val="28"/>
        </w:rPr>
        <w:t xml:space="preserve">These Orders are clearly not fostering excessive entanglement with religion or advancing a religion of any kind. In other words, the Orders are not establishing the placement of the Ten Commandments or a cross on public land in violation of the Establishment Clause. There is no likelihood of success by the Plaintiffs for violation of the Establishment Clause. </w:t>
      </w:r>
    </w:p>
    <w:p w:rsidR="0018242D" w:rsidRPr="00D56445" w:rsidRDefault="0018242D" w:rsidP="00B57C85">
      <w:pPr>
        <w:pStyle w:val="ListParagraph"/>
        <w:numPr>
          <w:ilvl w:val="0"/>
          <w:numId w:val="10"/>
        </w:numPr>
        <w:spacing w:line="480" w:lineRule="auto"/>
        <w:jc w:val="both"/>
        <w:rPr>
          <w:rFonts w:eastAsia="Calibri"/>
          <w:b/>
          <w:bCs/>
          <w:sz w:val="28"/>
          <w:szCs w:val="28"/>
          <w:u w:val="single"/>
        </w:rPr>
      </w:pPr>
      <w:r w:rsidRPr="00D56445">
        <w:rPr>
          <w:rFonts w:eastAsia="Calibri"/>
          <w:b/>
          <w:bCs/>
          <w:sz w:val="28"/>
          <w:szCs w:val="28"/>
          <w:u w:val="single"/>
        </w:rPr>
        <w:lastRenderedPageBreak/>
        <w:t>The Orders Do Not Violate Plaintiffs’ Right to Free Speech</w:t>
      </w:r>
      <w:r w:rsidR="00D56445">
        <w:rPr>
          <w:rFonts w:eastAsia="Calibri"/>
          <w:b/>
          <w:bCs/>
          <w:sz w:val="28"/>
          <w:szCs w:val="28"/>
          <w:u w:val="single"/>
        </w:rPr>
        <w:t>.</w:t>
      </w:r>
    </w:p>
    <w:p w:rsidR="0018242D" w:rsidRPr="0018242D" w:rsidRDefault="0018242D" w:rsidP="001624FB">
      <w:pPr>
        <w:spacing w:line="480" w:lineRule="auto"/>
        <w:ind w:firstLine="720"/>
        <w:jc w:val="both"/>
        <w:rPr>
          <w:rFonts w:eastAsia="Calibri"/>
          <w:sz w:val="28"/>
          <w:szCs w:val="28"/>
        </w:rPr>
      </w:pPr>
      <w:r w:rsidRPr="0018242D">
        <w:rPr>
          <w:rFonts w:eastAsia="Calibri"/>
          <w:sz w:val="28"/>
          <w:szCs w:val="28"/>
        </w:rPr>
        <w:t xml:space="preserve">First, Plaintiffs argue that the Orders </w:t>
      </w:r>
      <w:proofErr w:type="gramStart"/>
      <w:r w:rsidRPr="0018242D">
        <w:rPr>
          <w:rFonts w:eastAsia="Calibri"/>
          <w:sz w:val="28"/>
          <w:szCs w:val="28"/>
        </w:rPr>
        <w:t>Against</w:t>
      </w:r>
      <w:proofErr w:type="gramEnd"/>
      <w:r w:rsidRPr="0018242D">
        <w:rPr>
          <w:rFonts w:eastAsia="Calibri"/>
          <w:sz w:val="28"/>
          <w:szCs w:val="28"/>
        </w:rPr>
        <w:t xml:space="preserve"> Public Gatherings are a prior restraint. This argument lacks merit as Plaintiffs remain able to communicate with members of their congregation by various means, including by teleconference, video-conference, and by str</w:t>
      </w:r>
      <w:r w:rsidR="006B60DC">
        <w:rPr>
          <w:rFonts w:eastAsia="Calibri"/>
          <w:sz w:val="28"/>
          <w:szCs w:val="28"/>
        </w:rPr>
        <w:t>eaming video or audio services, methods specifically identified by the State Public Health Officer as “essent</w:t>
      </w:r>
      <w:r w:rsidR="006B60DC" w:rsidRPr="0072322F">
        <w:rPr>
          <w:rFonts w:eastAsia="Calibri"/>
          <w:sz w:val="28"/>
          <w:szCs w:val="28"/>
        </w:rPr>
        <w:t xml:space="preserve">ial”. </w:t>
      </w:r>
      <w:r w:rsidR="006B60DC" w:rsidRPr="0072322F">
        <w:rPr>
          <w:rFonts w:eastAsia="Calibri"/>
          <w:sz w:val="28"/>
          <w:szCs w:val="28"/>
        </w:rPr>
        <w:t>[</w:t>
      </w:r>
      <w:r w:rsidR="0072322F">
        <w:rPr>
          <w:rFonts w:eastAsia="Calibri"/>
          <w:i/>
          <w:iCs/>
          <w:sz w:val="28"/>
          <w:szCs w:val="28"/>
        </w:rPr>
        <w:t>See</w:t>
      </w:r>
      <w:r w:rsidR="006B60DC" w:rsidRPr="0072322F">
        <w:rPr>
          <w:rFonts w:eastAsia="Calibri"/>
          <w:i/>
          <w:iCs/>
          <w:sz w:val="28"/>
          <w:szCs w:val="28"/>
        </w:rPr>
        <w:t xml:space="preserve"> </w:t>
      </w:r>
      <w:r w:rsidR="006B60DC" w:rsidRPr="0072322F">
        <w:rPr>
          <w:rFonts w:eastAsia="Calibri"/>
          <w:sz w:val="28"/>
          <w:szCs w:val="28"/>
        </w:rPr>
        <w:t>Kaiser Declaration</w:t>
      </w:r>
      <w:r w:rsidR="0072322F" w:rsidRPr="0072322F">
        <w:rPr>
          <w:rFonts w:eastAsia="Calibri"/>
          <w:sz w:val="28"/>
          <w:szCs w:val="28"/>
        </w:rPr>
        <w:t>, Paragraph 19, Page 8, Lines 7-15</w:t>
      </w:r>
      <w:r w:rsidR="006B60DC" w:rsidRPr="0072322F">
        <w:rPr>
          <w:rFonts w:eastAsia="Calibri"/>
          <w:sz w:val="28"/>
          <w:szCs w:val="28"/>
        </w:rPr>
        <w:t xml:space="preserve">, Exhibit identifying “Faith based services that are provided through streaming or other technology” as </w:t>
      </w:r>
      <w:r w:rsidR="001624FB" w:rsidRPr="0072322F">
        <w:rPr>
          <w:rFonts w:eastAsia="Calibri"/>
          <w:sz w:val="28"/>
          <w:szCs w:val="28"/>
        </w:rPr>
        <w:t>part of the “Other Community-Based Government Operations and Essential Functions” sector, at Page 11</w:t>
      </w:r>
      <w:r w:rsidR="0072322F">
        <w:rPr>
          <w:rFonts w:eastAsia="Calibri"/>
          <w:sz w:val="28"/>
          <w:szCs w:val="28"/>
        </w:rPr>
        <w:t xml:space="preserve">; </w:t>
      </w:r>
      <w:r w:rsidR="0072322F">
        <w:rPr>
          <w:rFonts w:eastAsia="Calibri"/>
          <w:i/>
          <w:iCs/>
          <w:sz w:val="28"/>
          <w:szCs w:val="28"/>
        </w:rPr>
        <w:t>See</w:t>
      </w:r>
      <w:r w:rsidR="0072322F">
        <w:rPr>
          <w:rFonts w:eastAsia="Calibri"/>
          <w:i/>
          <w:iCs/>
          <w:sz w:val="28"/>
          <w:szCs w:val="28"/>
        </w:rPr>
        <w:t xml:space="preserve"> </w:t>
      </w:r>
      <w:r w:rsidR="0072322F">
        <w:rPr>
          <w:rFonts w:eastAsia="Calibri"/>
          <w:iCs/>
          <w:sz w:val="28"/>
          <w:szCs w:val="28"/>
        </w:rPr>
        <w:t xml:space="preserve">Moran </w:t>
      </w:r>
      <w:r w:rsidR="0072322F" w:rsidRPr="00043103">
        <w:rPr>
          <w:rFonts w:eastAsia="Calibri"/>
          <w:iCs/>
          <w:sz w:val="28"/>
          <w:szCs w:val="28"/>
        </w:rPr>
        <w:t>Declaration</w:t>
      </w:r>
      <w:r w:rsidR="00043103" w:rsidRPr="00043103">
        <w:rPr>
          <w:rFonts w:eastAsia="Calibri"/>
          <w:iCs/>
          <w:sz w:val="28"/>
          <w:szCs w:val="28"/>
        </w:rPr>
        <w:t>, Paragraph 3, Page 2, Lines 17 – 28, Exhibit</w:t>
      </w:r>
      <w:r w:rsidR="00043103">
        <w:rPr>
          <w:rFonts w:eastAsia="Calibri"/>
          <w:iCs/>
          <w:sz w:val="28"/>
          <w:szCs w:val="28"/>
        </w:rPr>
        <w:t xml:space="preserve"> L.]</w:t>
      </w:r>
    </w:p>
    <w:p w:rsidR="0018242D" w:rsidRPr="0018242D" w:rsidRDefault="006B60DC" w:rsidP="00B57C85">
      <w:pPr>
        <w:spacing w:line="480" w:lineRule="auto"/>
        <w:jc w:val="both"/>
        <w:rPr>
          <w:rFonts w:eastAsia="Calibri"/>
          <w:sz w:val="28"/>
          <w:szCs w:val="28"/>
        </w:rPr>
      </w:pPr>
      <w:r>
        <w:rPr>
          <w:rFonts w:eastAsia="Calibri"/>
          <w:sz w:val="28"/>
          <w:szCs w:val="28"/>
        </w:rPr>
        <w:tab/>
      </w:r>
      <w:r w:rsidR="0018242D" w:rsidRPr="0018242D">
        <w:rPr>
          <w:rFonts w:eastAsia="Calibri"/>
          <w:sz w:val="28"/>
          <w:szCs w:val="28"/>
        </w:rPr>
        <w:t>The United States Supreme Court has defined prior restraint to be “administrative and judicial orders </w:t>
      </w:r>
      <w:r w:rsidR="0018242D" w:rsidRPr="0018242D">
        <w:rPr>
          <w:rFonts w:eastAsia="Calibri"/>
          <w:i/>
          <w:iCs/>
          <w:sz w:val="28"/>
          <w:szCs w:val="28"/>
        </w:rPr>
        <w:t>forbidding </w:t>
      </w:r>
      <w:r w:rsidR="0018242D" w:rsidRPr="0018242D">
        <w:rPr>
          <w:rFonts w:eastAsia="Calibri"/>
          <w:sz w:val="28"/>
          <w:szCs w:val="28"/>
        </w:rPr>
        <w:t>certain communications when issued in advance of the time that such communications are to occur.” [</w:t>
      </w:r>
      <w:r w:rsidR="0018242D" w:rsidRPr="0018242D">
        <w:rPr>
          <w:rFonts w:eastAsia="Calibri"/>
          <w:i/>
          <w:iCs/>
          <w:sz w:val="28"/>
          <w:szCs w:val="28"/>
        </w:rPr>
        <w:t>Alexander v. United States</w:t>
      </w:r>
      <w:r w:rsidR="0018242D" w:rsidRPr="0018242D">
        <w:rPr>
          <w:rFonts w:eastAsia="Calibri"/>
          <w:sz w:val="28"/>
          <w:szCs w:val="28"/>
        </w:rPr>
        <w:t>, 509 U.S. 544, 550 (1993) (emphasis in original) (internal quotation marks omitted).] Indeed, “not every governmental action that may affect future protected expression is ... [a] prior restraint.” </w:t>
      </w:r>
      <w:r w:rsidR="0018242D" w:rsidRPr="0018242D">
        <w:rPr>
          <w:rFonts w:eastAsia="Calibri"/>
          <w:i/>
          <w:iCs/>
          <w:sz w:val="28"/>
          <w:szCs w:val="28"/>
        </w:rPr>
        <w:t xml:space="preserve">Set </w:t>
      </w:r>
      <w:proofErr w:type="spellStart"/>
      <w:proofErr w:type="gramStart"/>
      <w:r w:rsidR="0018242D" w:rsidRPr="0018242D">
        <w:rPr>
          <w:rFonts w:eastAsia="Calibri"/>
          <w:i/>
          <w:iCs/>
          <w:sz w:val="28"/>
          <w:szCs w:val="28"/>
        </w:rPr>
        <w:t>Enterps</w:t>
      </w:r>
      <w:proofErr w:type="spellEnd"/>
      <w:r w:rsidR="0018242D" w:rsidRPr="0018242D">
        <w:rPr>
          <w:rFonts w:eastAsia="Calibri"/>
          <w:i/>
          <w:iCs/>
          <w:sz w:val="28"/>
          <w:szCs w:val="28"/>
        </w:rPr>
        <w:t>.,</w:t>
      </w:r>
      <w:proofErr w:type="gramEnd"/>
      <w:r w:rsidR="0018242D" w:rsidRPr="0018242D">
        <w:rPr>
          <w:rFonts w:eastAsia="Calibri"/>
          <w:i/>
          <w:iCs/>
          <w:sz w:val="28"/>
          <w:szCs w:val="28"/>
        </w:rPr>
        <w:t xml:space="preserve"> Inc. v. City of Hallandale Beach</w:t>
      </w:r>
      <w:r w:rsidR="0018242D" w:rsidRPr="0018242D">
        <w:rPr>
          <w:rFonts w:eastAsia="Calibri"/>
          <w:sz w:val="28"/>
          <w:szCs w:val="28"/>
        </w:rPr>
        <w:t>, 2010 WL 11549707, at *12 (S.D. Fla. Dec. 30, 2010).</w:t>
      </w:r>
    </w:p>
    <w:p w:rsidR="0018242D" w:rsidRPr="0018242D" w:rsidRDefault="001624FB" w:rsidP="00B57C85">
      <w:pPr>
        <w:spacing w:line="480" w:lineRule="auto"/>
        <w:jc w:val="both"/>
        <w:rPr>
          <w:rFonts w:eastAsia="Calibri"/>
          <w:sz w:val="28"/>
          <w:szCs w:val="28"/>
        </w:rPr>
      </w:pPr>
      <w:r>
        <w:rPr>
          <w:rFonts w:eastAsia="Calibri"/>
          <w:sz w:val="28"/>
          <w:szCs w:val="28"/>
        </w:rPr>
        <w:tab/>
      </w:r>
      <w:r w:rsidR="0018242D" w:rsidRPr="0018242D">
        <w:rPr>
          <w:rFonts w:eastAsia="Calibri"/>
          <w:sz w:val="28"/>
          <w:szCs w:val="28"/>
        </w:rPr>
        <w:t>Moreover, United States Supreme Court precedent confirms that in order for a law to be a prior restraint of speech, the law “must have a close enough nexus to expression, or to conduct commonly associated with expression, to pose a real and substantial threat of the identified censorship risks.” </w:t>
      </w:r>
      <w:r w:rsidR="0018242D" w:rsidRPr="0018242D">
        <w:rPr>
          <w:rFonts w:eastAsia="Calibri"/>
          <w:i/>
          <w:iCs/>
          <w:sz w:val="28"/>
          <w:szCs w:val="28"/>
        </w:rPr>
        <w:t>City of Lakewood v. Plain Dealer Pub. Co.</w:t>
      </w:r>
      <w:r w:rsidR="0018242D" w:rsidRPr="0018242D">
        <w:rPr>
          <w:rFonts w:eastAsia="Calibri"/>
          <w:sz w:val="28"/>
          <w:szCs w:val="28"/>
        </w:rPr>
        <w:t>, 486 U.S. 750, 759 (1988).</w:t>
      </w:r>
    </w:p>
    <w:p w:rsidR="0018242D" w:rsidRPr="0018242D" w:rsidRDefault="001624FB" w:rsidP="00B57C85">
      <w:pPr>
        <w:spacing w:line="480" w:lineRule="auto"/>
        <w:jc w:val="both"/>
        <w:rPr>
          <w:rFonts w:eastAsia="Calibri"/>
          <w:sz w:val="28"/>
          <w:szCs w:val="28"/>
        </w:rPr>
      </w:pPr>
      <w:r>
        <w:rPr>
          <w:rFonts w:eastAsia="Calibri"/>
          <w:sz w:val="28"/>
          <w:szCs w:val="28"/>
        </w:rPr>
        <w:lastRenderedPageBreak/>
        <w:tab/>
      </w:r>
      <w:r w:rsidR="0018242D" w:rsidRPr="0018242D">
        <w:rPr>
          <w:rFonts w:eastAsia="Calibri"/>
          <w:sz w:val="28"/>
          <w:szCs w:val="28"/>
        </w:rPr>
        <w:t xml:space="preserve">Here, there is no ban on communication or censorship of speech or religious speech of any kind. Rather, there is a ban on in-person gatherings to prevent the spread of COVID-19.  Additionally, faith-based services are able to communicate religious messages or speech via various technological mediums such as teleconference, video conference, and other streaming services. For example, Zoom.com allows an individual to use up to forty-five minutes of free videoconferencing without any payment. Indeed, there is no ban on expression or speech that is akin to censorship of any kind. Furthermore, there is no preferential treatment of any specific faith that existed in the </w:t>
      </w:r>
      <w:proofErr w:type="spellStart"/>
      <w:r w:rsidR="0018242D" w:rsidRPr="0018242D">
        <w:rPr>
          <w:rFonts w:eastAsia="Calibri"/>
          <w:i/>
          <w:iCs/>
          <w:sz w:val="28"/>
          <w:szCs w:val="28"/>
        </w:rPr>
        <w:t>Widmar</w:t>
      </w:r>
      <w:proofErr w:type="spellEnd"/>
      <w:r w:rsidR="0018242D" w:rsidRPr="0018242D">
        <w:rPr>
          <w:rFonts w:eastAsia="Calibri"/>
          <w:sz w:val="28"/>
          <w:szCs w:val="28"/>
        </w:rPr>
        <w:t xml:space="preserve"> case as cited by the Plaintiffs. </w:t>
      </w:r>
    </w:p>
    <w:p w:rsidR="0018242D" w:rsidRPr="0018242D" w:rsidRDefault="0018242D" w:rsidP="00B57C85">
      <w:pPr>
        <w:spacing w:line="480" w:lineRule="auto"/>
        <w:jc w:val="both"/>
        <w:rPr>
          <w:rFonts w:eastAsia="Calibri"/>
          <w:sz w:val="28"/>
          <w:szCs w:val="28"/>
        </w:rPr>
      </w:pPr>
      <w:r w:rsidRPr="0018242D">
        <w:rPr>
          <w:rFonts w:eastAsia="Calibri"/>
          <w:sz w:val="28"/>
          <w:szCs w:val="28"/>
        </w:rPr>
        <w:tab/>
        <w:t xml:space="preserve">Second, Plaintiffs argue that the Orders </w:t>
      </w:r>
      <w:proofErr w:type="gramStart"/>
      <w:r w:rsidRPr="0018242D">
        <w:rPr>
          <w:rFonts w:eastAsia="Calibri"/>
          <w:sz w:val="28"/>
          <w:szCs w:val="28"/>
        </w:rPr>
        <w:t>Against</w:t>
      </w:r>
      <w:proofErr w:type="gramEnd"/>
      <w:r w:rsidRPr="0018242D">
        <w:rPr>
          <w:rFonts w:eastAsia="Calibri"/>
          <w:sz w:val="28"/>
          <w:szCs w:val="28"/>
        </w:rPr>
        <w:t xml:space="preserve"> Public Gatherings are facially unconstitutio</w:t>
      </w:r>
      <w:r w:rsidR="001624FB">
        <w:rPr>
          <w:rFonts w:eastAsia="Calibri"/>
          <w:sz w:val="28"/>
          <w:szCs w:val="28"/>
        </w:rPr>
        <w:t>nal as they are overbroad. [Doc. No.</w:t>
      </w:r>
      <w:r w:rsidRPr="0018242D">
        <w:rPr>
          <w:rFonts w:eastAsia="Calibri"/>
          <w:sz w:val="28"/>
          <w:szCs w:val="28"/>
        </w:rPr>
        <w:t xml:space="preserve"> 8, p. 14, lines 1-2.] The overbreadth doctrine is an “exception from general standing rules” that allows a plaintiff to seek facial invalidation of a law that “sweeps too broadly, penalizing a substantial amount of speech that is constitutionally protected,” even if that law is constitutional as applied to the plaintiff. [</w:t>
      </w:r>
      <w:r w:rsidRPr="0018242D">
        <w:rPr>
          <w:rFonts w:eastAsia="Calibri"/>
          <w:i/>
          <w:iCs/>
          <w:sz w:val="28"/>
          <w:szCs w:val="28"/>
        </w:rPr>
        <w:t>Forsyth County v. Nationalist Movement,</w:t>
      </w:r>
      <w:r w:rsidRPr="0018242D">
        <w:rPr>
          <w:rFonts w:eastAsia="Calibri"/>
          <w:sz w:val="28"/>
          <w:szCs w:val="28"/>
        </w:rPr>
        <w:t> 505 U.S. 123, 129–30 (1992).] This doctrine recognizes that “the very existence of some broadly written laws has the potential to chill the expressive activity of others not before the court.” [</w:t>
      </w:r>
      <w:r w:rsidRPr="0018242D">
        <w:rPr>
          <w:rFonts w:eastAsia="Calibri"/>
          <w:i/>
          <w:iCs/>
          <w:sz w:val="28"/>
          <w:szCs w:val="28"/>
        </w:rPr>
        <w:t>Id.</w:t>
      </w:r>
      <w:r w:rsidRPr="0018242D">
        <w:rPr>
          <w:rFonts w:eastAsia="Calibri"/>
          <w:sz w:val="28"/>
          <w:szCs w:val="28"/>
        </w:rPr>
        <w:t> at 129.]</w:t>
      </w:r>
    </w:p>
    <w:p w:rsidR="0018242D" w:rsidRPr="0018242D" w:rsidRDefault="0018242D" w:rsidP="00B57C85">
      <w:pPr>
        <w:spacing w:line="480" w:lineRule="auto"/>
        <w:ind w:firstLine="720"/>
        <w:jc w:val="both"/>
        <w:rPr>
          <w:rFonts w:eastAsia="Calibri"/>
          <w:sz w:val="28"/>
          <w:szCs w:val="28"/>
        </w:rPr>
      </w:pPr>
      <w:r w:rsidRPr="0018242D">
        <w:rPr>
          <w:rFonts w:eastAsia="Calibri"/>
          <w:sz w:val="28"/>
          <w:szCs w:val="28"/>
        </w:rPr>
        <w:t xml:space="preserve">To succeed on their overbreadth claim, Plaintiffs must show that the Orders </w:t>
      </w:r>
      <w:proofErr w:type="gramStart"/>
      <w:r w:rsidRPr="0018242D">
        <w:rPr>
          <w:rFonts w:eastAsia="Calibri"/>
          <w:sz w:val="28"/>
          <w:szCs w:val="28"/>
        </w:rPr>
        <w:t>Against</w:t>
      </w:r>
      <w:proofErr w:type="gramEnd"/>
      <w:r w:rsidRPr="0018242D">
        <w:rPr>
          <w:rFonts w:eastAsia="Calibri"/>
          <w:sz w:val="28"/>
          <w:szCs w:val="28"/>
        </w:rPr>
        <w:t xml:space="preserve"> Public Gatherings “punish a ‘substantial’ amount of protected free speech, ‘judged in relation to the statute's plainly legitimate sweep.’ ” [</w:t>
      </w:r>
      <w:r w:rsidRPr="0018242D">
        <w:rPr>
          <w:rFonts w:eastAsia="Calibri"/>
          <w:i/>
          <w:iCs/>
          <w:sz w:val="28"/>
          <w:szCs w:val="28"/>
        </w:rPr>
        <w:t>Virginia v. Hicks,</w:t>
      </w:r>
      <w:r w:rsidRPr="0018242D">
        <w:rPr>
          <w:rFonts w:eastAsia="Calibri"/>
          <w:sz w:val="28"/>
          <w:szCs w:val="28"/>
        </w:rPr>
        <w:t> 539 U.S. 113, 118–</w:t>
      </w:r>
      <w:r w:rsidRPr="0018242D">
        <w:rPr>
          <w:rFonts w:eastAsia="Calibri"/>
          <w:sz w:val="28"/>
          <w:szCs w:val="28"/>
        </w:rPr>
        <w:lastRenderedPageBreak/>
        <w:t>19(2003) (quoting </w:t>
      </w:r>
      <w:proofErr w:type="spellStart"/>
      <w:r w:rsidRPr="0018242D">
        <w:rPr>
          <w:rFonts w:eastAsia="Calibri"/>
          <w:i/>
          <w:iCs/>
          <w:sz w:val="28"/>
          <w:szCs w:val="28"/>
        </w:rPr>
        <w:t>Broadrick</w:t>
      </w:r>
      <w:proofErr w:type="spellEnd"/>
      <w:r w:rsidRPr="0018242D">
        <w:rPr>
          <w:rFonts w:eastAsia="Calibri"/>
          <w:i/>
          <w:iCs/>
          <w:sz w:val="28"/>
          <w:szCs w:val="28"/>
        </w:rPr>
        <w:t xml:space="preserve"> v. Oklahoma,</w:t>
      </w:r>
      <w:r w:rsidRPr="0018242D">
        <w:rPr>
          <w:rFonts w:eastAsia="Calibri"/>
          <w:sz w:val="28"/>
          <w:szCs w:val="28"/>
        </w:rPr>
        <w:t xml:space="preserve"> 413 U.S. 601, 615, 93 </w:t>
      </w:r>
      <w:proofErr w:type="spellStart"/>
      <w:r w:rsidRPr="0018242D">
        <w:rPr>
          <w:rFonts w:eastAsia="Calibri"/>
          <w:sz w:val="28"/>
          <w:szCs w:val="28"/>
        </w:rPr>
        <w:t>S.Ct</w:t>
      </w:r>
      <w:proofErr w:type="spellEnd"/>
      <w:r w:rsidRPr="0018242D">
        <w:rPr>
          <w:rFonts w:eastAsia="Calibri"/>
          <w:sz w:val="28"/>
          <w:szCs w:val="28"/>
        </w:rPr>
        <w:t xml:space="preserve">. 2908, 37 L.Ed.2d 830 (1973)).] </w:t>
      </w:r>
    </w:p>
    <w:p w:rsidR="0018242D" w:rsidRPr="0018242D" w:rsidRDefault="0018242D" w:rsidP="00B57C85">
      <w:pPr>
        <w:spacing w:line="480" w:lineRule="auto"/>
        <w:ind w:firstLine="360"/>
        <w:jc w:val="both"/>
        <w:rPr>
          <w:rFonts w:eastAsia="Calibri"/>
          <w:sz w:val="28"/>
          <w:szCs w:val="28"/>
        </w:rPr>
      </w:pPr>
      <w:r w:rsidRPr="0018242D">
        <w:rPr>
          <w:rFonts w:eastAsia="Calibri"/>
          <w:sz w:val="28"/>
          <w:szCs w:val="28"/>
        </w:rPr>
        <w:tab/>
        <w:t xml:space="preserve">Plaintiffs’ TRO does not identify a substantial amount of protected free speech. Rather, Plaintiffs instead point to a number of faiths that are allegedly burdened by the Orders </w:t>
      </w:r>
      <w:proofErr w:type="gramStart"/>
      <w:r w:rsidRPr="0018242D">
        <w:rPr>
          <w:rFonts w:eastAsia="Calibri"/>
          <w:sz w:val="28"/>
          <w:szCs w:val="28"/>
        </w:rPr>
        <w:t>Against</w:t>
      </w:r>
      <w:proofErr w:type="gramEnd"/>
      <w:r w:rsidRPr="0018242D">
        <w:rPr>
          <w:rFonts w:eastAsia="Calibri"/>
          <w:sz w:val="28"/>
          <w:szCs w:val="28"/>
        </w:rPr>
        <w:t xml:space="preserve"> Public Gathering in attempt to expand the amount of speech at stake. In reality, the Orders </w:t>
      </w:r>
      <w:proofErr w:type="gramStart"/>
      <w:r w:rsidRPr="0018242D">
        <w:rPr>
          <w:rFonts w:eastAsia="Calibri"/>
          <w:sz w:val="28"/>
          <w:szCs w:val="28"/>
        </w:rPr>
        <w:t>Against</w:t>
      </w:r>
      <w:proofErr w:type="gramEnd"/>
      <w:r w:rsidRPr="0018242D">
        <w:rPr>
          <w:rFonts w:eastAsia="Calibri"/>
          <w:sz w:val="28"/>
          <w:szCs w:val="28"/>
        </w:rPr>
        <w:t xml:space="preserve"> Public Gatherings are intended to encourage people to stay at home. The Orders do not prohibit religious</w:t>
      </w:r>
      <w:r w:rsidR="001624FB">
        <w:rPr>
          <w:rFonts w:eastAsia="Calibri"/>
          <w:sz w:val="28"/>
          <w:szCs w:val="28"/>
        </w:rPr>
        <w:t xml:space="preserve"> speech of any kind, nor do they</w:t>
      </w:r>
      <w:r w:rsidRPr="0018242D">
        <w:rPr>
          <w:rFonts w:eastAsia="Calibri"/>
          <w:sz w:val="28"/>
          <w:szCs w:val="28"/>
        </w:rPr>
        <w:t xml:space="preserve"> discriminate on the basis of faith. </w:t>
      </w:r>
    </w:p>
    <w:p w:rsidR="0018242D" w:rsidRPr="00D56445" w:rsidRDefault="0018242D" w:rsidP="00B57C85">
      <w:pPr>
        <w:pStyle w:val="ListParagraph"/>
        <w:numPr>
          <w:ilvl w:val="0"/>
          <w:numId w:val="10"/>
        </w:numPr>
        <w:spacing w:line="480" w:lineRule="auto"/>
        <w:jc w:val="both"/>
        <w:rPr>
          <w:rFonts w:eastAsia="Calibri"/>
          <w:b/>
          <w:bCs/>
          <w:sz w:val="28"/>
          <w:szCs w:val="28"/>
          <w:u w:val="single"/>
        </w:rPr>
      </w:pPr>
      <w:r w:rsidRPr="00D56445">
        <w:rPr>
          <w:rFonts w:eastAsia="Calibri"/>
          <w:b/>
          <w:bCs/>
          <w:sz w:val="28"/>
          <w:szCs w:val="28"/>
          <w:u w:val="single"/>
        </w:rPr>
        <w:t>Plaintiffs’ Right to Assembly Is Not Violated</w:t>
      </w:r>
      <w:r w:rsidR="00D56445">
        <w:rPr>
          <w:rFonts w:eastAsia="Calibri"/>
          <w:b/>
          <w:bCs/>
          <w:sz w:val="28"/>
          <w:szCs w:val="28"/>
          <w:u w:val="single"/>
        </w:rPr>
        <w:t>.</w:t>
      </w:r>
    </w:p>
    <w:p w:rsidR="0018242D" w:rsidRPr="0018242D" w:rsidRDefault="0018242D" w:rsidP="00B57C85">
      <w:pPr>
        <w:tabs>
          <w:tab w:val="left" w:pos="720"/>
          <w:tab w:val="left" w:pos="1440"/>
          <w:tab w:val="left" w:pos="2160"/>
        </w:tabs>
        <w:spacing w:line="480" w:lineRule="auto"/>
        <w:ind w:left="720"/>
        <w:jc w:val="both"/>
        <w:rPr>
          <w:position w:val="16"/>
          <w:sz w:val="28"/>
          <w:szCs w:val="28"/>
        </w:rPr>
      </w:pPr>
      <w:r w:rsidRPr="0018242D">
        <w:rPr>
          <w:position w:val="16"/>
          <w:sz w:val="28"/>
          <w:szCs w:val="28"/>
        </w:rPr>
        <w:t xml:space="preserve">There is no dispute that the United States Constitution and the California Constitution </w:t>
      </w:r>
    </w:p>
    <w:p w:rsidR="0018242D" w:rsidRPr="0018242D" w:rsidRDefault="0018242D" w:rsidP="00B57C85">
      <w:pPr>
        <w:tabs>
          <w:tab w:val="left" w:pos="720"/>
          <w:tab w:val="left" w:pos="1440"/>
          <w:tab w:val="left" w:pos="2160"/>
        </w:tabs>
        <w:spacing w:line="480" w:lineRule="auto"/>
        <w:jc w:val="both"/>
        <w:rPr>
          <w:position w:val="16"/>
          <w:sz w:val="28"/>
          <w:szCs w:val="28"/>
        </w:rPr>
      </w:pPr>
      <w:proofErr w:type="gramStart"/>
      <w:r w:rsidRPr="0018242D">
        <w:rPr>
          <w:position w:val="16"/>
          <w:sz w:val="28"/>
          <w:szCs w:val="28"/>
        </w:rPr>
        <w:t>protect</w:t>
      </w:r>
      <w:proofErr w:type="gramEnd"/>
      <w:r w:rsidRPr="0018242D">
        <w:rPr>
          <w:position w:val="16"/>
          <w:sz w:val="28"/>
          <w:szCs w:val="28"/>
        </w:rPr>
        <w:t xml:space="preserve"> the rights of individuals to peacefully assemble and/or worship. This right, however, has certain limitations as explained by the United States Supreme Court on a number of occasions.</w:t>
      </w:r>
      <w:r w:rsidRPr="0018242D">
        <w:rPr>
          <w:i/>
          <w:iCs/>
          <w:position w:val="16"/>
          <w:sz w:val="28"/>
          <w:szCs w:val="28"/>
        </w:rPr>
        <w:t xml:space="preserve"> </w:t>
      </w:r>
      <w:r w:rsidRPr="0018242D">
        <w:rPr>
          <w:position w:val="16"/>
          <w:sz w:val="28"/>
          <w:szCs w:val="28"/>
        </w:rPr>
        <w:t>[</w:t>
      </w:r>
      <w:r w:rsidRPr="0018242D">
        <w:rPr>
          <w:i/>
          <w:iCs/>
          <w:position w:val="16"/>
          <w:sz w:val="28"/>
          <w:szCs w:val="28"/>
        </w:rPr>
        <w:t xml:space="preserve">Carroll v. President and </w:t>
      </w:r>
      <w:proofErr w:type="spellStart"/>
      <w:r w:rsidRPr="0018242D">
        <w:rPr>
          <w:i/>
          <w:iCs/>
          <w:position w:val="16"/>
          <w:sz w:val="28"/>
          <w:szCs w:val="28"/>
        </w:rPr>
        <w:t>Com’rs</w:t>
      </w:r>
      <w:proofErr w:type="spellEnd"/>
      <w:r w:rsidRPr="0018242D">
        <w:rPr>
          <w:i/>
          <w:iCs/>
          <w:position w:val="16"/>
          <w:sz w:val="28"/>
          <w:szCs w:val="28"/>
        </w:rPr>
        <w:t xml:space="preserve"> of Princess Anne</w:t>
      </w:r>
      <w:r w:rsidRPr="0018242D">
        <w:rPr>
          <w:position w:val="16"/>
          <w:sz w:val="28"/>
          <w:szCs w:val="28"/>
        </w:rPr>
        <w:t xml:space="preserve">, 393, U.S. 175 (1968); </w:t>
      </w:r>
      <w:r w:rsidRPr="0018242D">
        <w:rPr>
          <w:i/>
          <w:iCs/>
          <w:position w:val="16"/>
          <w:sz w:val="28"/>
          <w:szCs w:val="28"/>
        </w:rPr>
        <w:t xml:space="preserve">Thomas v. Collins, </w:t>
      </w:r>
      <w:r w:rsidRPr="0018242D">
        <w:rPr>
          <w:position w:val="16"/>
          <w:sz w:val="28"/>
          <w:szCs w:val="28"/>
        </w:rPr>
        <w:t xml:space="preserve">323 U.S. 516 (1945); </w:t>
      </w:r>
      <w:r w:rsidRPr="0018242D">
        <w:rPr>
          <w:i/>
          <w:iCs/>
          <w:position w:val="16"/>
          <w:sz w:val="28"/>
          <w:szCs w:val="28"/>
        </w:rPr>
        <w:t>West Virginia State Board of Education v. Barnette</w:t>
      </w:r>
      <w:r w:rsidRPr="0018242D">
        <w:rPr>
          <w:position w:val="16"/>
          <w:sz w:val="28"/>
          <w:szCs w:val="28"/>
        </w:rPr>
        <w:t xml:space="preserve"> 319 U.S.624 (1943).] Indeed, any attempt to restrict free assembly or free worship must be justified by clear and present danger. [</w:t>
      </w:r>
      <w:r w:rsidRPr="0018242D">
        <w:rPr>
          <w:i/>
          <w:iCs/>
          <w:position w:val="16"/>
          <w:sz w:val="28"/>
          <w:szCs w:val="28"/>
        </w:rPr>
        <w:t>Collins</w:t>
      </w:r>
      <w:r w:rsidRPr="0018242D">
        <w:rPr>
          <w:position w:val="16"/>
          <w:sz w:val="28"/>
          <w:szCs w:val="28"/>
        </w:rPr>
        <w:t xml:space="preserve">, supra, 323 U.S. at 530-531.]  California’s Supreme Court has ruled that any prohibitions against a lawful assembly must be limited to situations which are violent or which pose clear and present danger of imminent violence or harm to others. </w:t>
      </w:r>
      <w:r w:rsidRPr="0018242D">
        <w:rPr>
          <w:i/>
          <w:iCs/>
          <w:position w:val="16"/>
          <w:sz w:val="28"/>
          <w:szCs w:val="28"/>
        </w:rPr>
        <w:t>In re Brown</w:t>
      </w:r>
      <w:r w:rsidRPr="0018242D">
        <w:rPr>
          <w:position w:val="16"/>
          <w:sz w:val="28"/>
          <w:szCs w:val="28"/>
        </w:rPr>
        <w:t xml:space="preserve"> (1973) 9 Cal. 3d 612, 623. </w:t>
      </w:r>
    </w:p>
    <w:p w:rsidR="0018242D" w:rsidRPr="0018242D" w:rsidRDefault="0018242D" w:rsidP="00B57C85">
      <w:pPr>
        <w:tabs>
          <w:tab w:val="left" w:pos="720"/>
          <w:tab w:val="left" w:pos="1440"/>
          <w:tab w:val="left" w:pos="2160"/>
        </w:tabs>
        <w:spacing w:line="480" w:lineRule="auto"/>
        <w:jc w:val="both"/>
        <w:rPr>
          <w:rFonts w:eastAsia="Calibri"/>
          <w:position w:val="16"/>
          <w:sz w:val="28"/>
          <w:szCs w:val="28"/>
        </w:rPr>
      </w:pPr>
      <w:r w:rsidRPr="0018242D">
        <w:rPr>
          <w:position w:val="16"/>
          <w:sz w:val="28"/>
          <w:szCs w:val="28"/>
        </w:rPr>
        <w:lastRenderedPageBreak/>
        <w:tab/>
        <w:t xml:space="preserve">As described above, </w:t>
      </w:r>
      <w:r w:rsidRPr="0018242D">
        <w:rPr>
          <w:rFonts w:eastAsia="Calibri"/>
          <w:position w:val="16"/>
          <w:sz w:val="28"/>
          <w:szCs w:val="28"/>
        </w:rPr>
        <w:t xml:space="preserve">the Orders </w:t>
      </w:r>
      <w:proofErr w:type="gramStart"/>
      <w:r w:rsidRPr="0018242D">
        <w:rPr>
          <w:rFonts w:eastAsia="Calibri"/>
          <w:position w:val="16"/>
          <w:sz w:val="28"/>
          <w:szCs w:val="28"/>
        </w:rPr>
        <w:t>Against</w:t>
      </w:r>
      <w:proofErr w:type="gramEnd"/>
      <w:r w:rsidRPr="0018242D">
        <w:rPr>
          <w:rFonts w:eastAsia="Calibri"/>
          <w:position w:val="16"/>
          <w:sz w:val="28"/>
          <w:szCs w:val="28"/>
        </w:rPr>
        <w:t xml:space="preserve"> Public Gatherings were issued specifically to prevent such a clear and present danger of harm, namely the spread of the COVID-19 virus through individuals closely gathering to larger members of the public.  As this Court may be aware, groups that gather, despite public health orders that prohibit such gathering, have been termed: “super-spreaders”.  In South Korea, at the </w:t>
      </w:r>
      <w:proofErr w:type="spellStart"/>
      <w:r w:rsidRPr="0018242D">
        <w:rPr>
          <w:rFonts w:eastAsia="Calibri"/>
          <w:position w:val="16"/>
          <w:sz w:val="28"/>
          <w:szCs w:val="28"/>
        </w:rPr>
        <w:t>Shincheonji</w:t>
      </w:r>
      <w:proofErr w:type="spellEnd"/>
      <w:r w:rsidRPr="0018242D">
        <w:rPr>
          <w:rFonts w:eastAsia="Calibri"/>
          <w:position w:val="16"/>
          <w:sz w:val="28"/>
          <w:szCs w:val="28"/>
        </w:rPr>
        <w:t xml:space="preserve"> Church of Jesus in Daegu, a single individual is known to have infected at least 5,080 confirmed cases of COVID-19, more than half of South Korea’s total. </w:t>
      </w:r>
      <w:r w:rsidRPr="0018242D">
        <w:rPr>
          <w:rFonts w:eastAsia="Calibri"/>
          <w:i/>
          <w:position w:val="16"/>
          <w:sz w:val="28"/>
          <w:szCs w:val="28"/>
        </w:rPr>
        <w:t>See</w:t>
      </w:r>
      <w:r w:rsidRPr="0018242D">
        <w:rPr>
          <w:rFonts w:eastAsia="Calibri"/>
          <w:position w:val="16"/>
          <w:sz w:val="28"/>
          <w:szCs w:val="28"/>
        </w:rPr>
        <w:t xml:space="preserve"> </w:t>
      </w:r>
      <w:proofErr w:type="spellStart"/>
      <w:r w:rsidRPr="0018242D">
        <w:rPr>
          <w:rFonts w:eastAsia="Calibri"/>
          <w:position w:val="16"/>
          <w:sz w:val="28"/>
          <w:szCs w:val="28"/>
        </w:rPr>
        <w:t>Youjin</w:t>
      </w:r>
      <w:proofErr w:type="spellEnd"/>
      <w:r w:rsidRPr="0018242D">
        <w:rPr>
          <w:rFonts w:eastAsia="Calibri"/>
          <w:position w:val="16"/>
          <w:sz w:val="28"/>
          <w:szCs w:val="28"/>
        </w:rPr>
        <w:t xml:space="preserve"> Shin, Bonnie Berkowitz, Min </w:t>
      </w:r>
      <w:proofErr w:type="spellStart"/>
      <w:r w:rsidRPr="0018242D">
        <w:rPr>
          <w:rFonts w:eastAsia="Calibri"/>
          <w:position w:val="16"/>
          <w:sz w:val="28"/>
          <w:szCs w:val="28"/>
        </w:rPr>
        <w:t>Joo</w:t>
      </w:r>
      <w:proofErr w:type="spellEnd"/>
      <w:r w:rsidRPr="0018242D">
        <w:rPr>
          <w:rFonts w:eastAsia="Calibri"/>
          <w:position w:val="16"/>
          <w:sz w:val="28"/>
          <w:szCs w:val="28"/>
        </w:rPr>
        <w:t xml:space="preserve">-Kim, </w:t>
      </w:r>
      <w:r w:rsidRPr="0018242D">
        <w:rPr>
          <w:rFonts w:eastAsia="Calibri"/>
          <w:i/>
          <w:iCs/>
          <w:position w:val="16"/>
          <w:sz w:val="28"/>
          <w:szCs w:val="28"/>
        </w:rPr>
        <w:t xml:space="preserve">How a South Korean church helped fuel the spread of the </w:t>
      </w:r>
      <w:proofErr w:type="spellStart"/>
      <w:r w:rsidRPr="0018242D">
        <w:rPr>
          <w:rFonts w:eastAsia="Calibri"/>
          <w:i/>
          <w:iCs/>
          <w:position w:val="16"/>
          <w:sz w:val="28"/>
          <w:szCs w:val="28"/>
        </w:rPr>
        <w:t>coronarvirus</w:t>
      </w:r>
      <w:proofErr w:type="spellEnd"/>
      <w:r w:rsidRPr="0018242D">
        <w:rPr>
          <w:rFonts w:eastAsia="Calibri"/>
          <w:position w:val="16"/>
          <w:sz w:val="28"/>
          <w:szCs w:val="28"/>
        </w:rPr>
        <w:t>, Washington Post, March 25, 2020,</w:t>
      </w:r>
    </w:p>
    <w:p w:rsidR="0018242D" w:rsidRPr="0018242D" w:rsidRDefault="0018242D" w:rsidP="00B57C85">
      <w:pPr>
        <w:tabs>
          <w:tab w:val="left" w:pos="720"/>
          <w:tab w:val="left" w:pos="1440"/>
          <w:tab w:val="left" w:pos="2160"/>
        </w:tabs>
        <w:spacing w:line="480" w:lineRule="auto"/>
        <w:jc w:val="both"/>
        <w:rPr>
          <w:rFonts w:eastAsia="Calibri"/>
          <w:position w:val="16"/>
          <w:sz w:val="28"/>
          <w:szCs w:val="28"/>
        </w:rPr>
      </w:pPr>
      <w:r w:rsidRPr="0018242D">
        <w:rPr>
          <w:sz w:val="28"/>
          <w:szCs w:val="28"/>
        </w:rPr>
        <w:t xml:space="preserve"> </w:t>
      </w:r>
      <w:hyperlink r:id="rId11" w:history="1">
        <w:r w:rsidRPr="0018242D">
          <w:rPr>
            <w:rStyle w:val="Hyperlink"/>
            <w:rFonts w:eastAsia="Calibri"/>
            <w:position w:val="16"/>
            <w:sz w:val="28"/>
            <w:szCs w:val="28"/>
          </w:rPr>
          <w:t>https://www.washingtonpost.com/graphics/2020/world/coronavirus-south-korea-church/</w:t>
        </w:r>
      </w:hyperlink>
      <w:r w:rsidRPr="0018242D">
        <w:rPr>
          <w:rFonts w:eastAsia="Calibri"/>
          <w:position w:val="16"/>
          <w:sz w:val="28"/>
          <w:szCs w:val="28"/>
        </w:rPr>
        <w:t>.</w:t>
      </w:r>
    </w:p>
    <w:p w:rsidR="0018242D" w:rsidRPr="0018242D" w:rsidRDefault="0018242D" w:rsidP="00B57C85">
      <w:pPr>
        <w:tabs>
          <w:tab w:val="left" w:pos="720"/>
          <w:tab w:val="left" w:pos="1440"/>
          <w:tab w:val="left" w:pos="2160"/>
        </w:tabs>
        <w:spacing w:line="480" w:lineRule="auto"/>
        <w:jc w:val="both"/>
        <w:rPr>
          <w:rFonts w:eastAsia="Calibri"/>
          <w:position w:val="16"/>
          <w:sz w:val="28"/>
          <w:szCs w:val="28"/>
        </w:rPr>
      </w:pPr>
      <w:r w:rsidRPr="0018242D">
        <w:rPr>
          <w:rFonts w:eastAsia="Calibri"/>
          <w:position w:val="16"/>
          <w:sz w:val="28"/>
          <w:szCs w:val="28"/>
        </w:rPr>
        <w:tab/>
        <w:t xml:space="preserve">In Seattle, the choir of the Mount Vernon Presbyterian Church of Mount Vernon, Washington, gathered for choir practice on Tuesday, March 10, 2020. Despite practicing social distancing, passing out hand sanitizer and avoiding physical contact, COVID-19 spread throughout the group. Now, at least forty-five (45) individuals have been diagnosed with COVID-19 or ill with symptoms and at least two have died. </w:t>
      </w:r>
      <w:r w:rsidRPr="0018242D">
        <w:rPr>
          <w:rFonts w:eastAsia="Calibri"/>
          <w:i/>
          <w:position w:val="16"/>
          <w:sz w:val="28"/>
          <w:szCs w:val="28"/>
        </w:rPr>
        <w:t xml:space="preserve"> See</w:t>
      </w:r>
      <w:r w:rsidRPr="0018242D">
        <w:rPr>
          <w:rFonts w:eastAsia="Calibri"/>
          <w:position w:val="16"/>
          <w:sz w:val="28"/>
          <w:szCs w:val="28"/>
        </w:rPr>
        <w:t xml:space="preserve"> Richard Read, </w:t>
      </w:r>
      <w:r w:rsidRPr="0018242D">
        <w:rPr>
          <w:rFonts w:eastAsia="Calibri"/>
          <w:i/>
          <w:iCs/>
          <w:position w:val="16"/>
          <w:sz w:val="28"/>
          <w:szCs w:val="28"/>
        </w:rPr>
        <w:t>A choir decided to go ahead with rehearsal. Now dozens have COVID-19 and two are dead</w:t>
      </w:r>
      <w:r w:rsidRPr="0018242D">
        <w:rPr>
          <w:rFonts w:eastAsia="Calibri"/>
          <w:position w:val="16"/>
          <w:sz w:val="28"/>
          <w:szCs w:val="28"/>
        </w:rPr>
        <w:t xml:space="preserve">, March 29, 2020, </w:t>
      </w:r>
      <w:hyperlink r:id="rId12" w:history="1">
        <w:r w:rsidRPr="0018242D">
          <w:rPr>
            <w:rFonts w:eastAsia="Calibri"/>
            <w:color w:val="0563C1"/>
            <w:position w:val="16"/>
            <w:sz w:val="28"/>
            <w:szCs w:val="28"/>
            <w:u w:val="single"/>
          </w:rPr>
          <w:t>https://www.latimes.com/world-nation/story/2020-03-29/coronavirus-choir-outbreak</w:t>
        </w:r>
      </w:hyperlink>
      <w:r w:rsidRPr="0018242D">
        <w:rPr>
          <w:rFonts w:eastAsia="Calibri"/>
          <w:position w:val="16"/>
          <w:sz w:val="28"/>
          <w:szCs w:val="28"/>
        </w:rPr>
        <w:t>.</w:t>
      </w:r>
    </w:p>
    <w:p w:rsidR="0018242D" w:rsidRPr="0018242D" w:rsidRDefault="0018242D" w:rsidP="00B57C85">
      <w:pPr>
        <w:tabs>
          <w:tab w:val="left" w:pos="720"/>
          <w:tab w:val="left" w:pos="1440"/>
          <w:tab w:val="left" w:pos="2160"/>
        </w:tabs>
        <w:spacing w:line="480" w:lineRule="auto"/>
        <w:jc w:val="both"/>
        <w:rPr>
          <w:rFonts w:eastAsia="Calibri"/>
          <w:position w:val="16"/>
          <w:sz w:val="28"/>
          <w:szCs w:val="28"/>
        </w:rPr>
      </w:pPr>
      <w:r w:rsidRPr="0018242D">
        <w:rPr>
          <w:rFonts w:eastAsia="Calibri"/>
          <w:position w:val="16"/>
          <w:sz w:val="28"/>
          <w:szCs w:val="28"/>
        </w:rPr>
        <w:lastRenderedPageBreak/>
        <w:tab/>
        <w:t xml:space="preserve">These are just two examples of a single assembly of individuals, whether for a church-service or for a choice practice, that resulted in the uncontrolled spread of COVID-19 that resulted in harm against other individuals and the community at large. In fact, the Supreme Court of South Dakota has ruled that public authorities have the right to prohibit gatherings or congregations of persons during the prevalence of an epidemic. </w:t>
      </w:r>
      <w:proofErr w:type="spellStart"/>
      <w:r w:rsidRPr="0018242D">
        <w:rPr>
          <w:rFonts w:eastAsia="Calibri"/>
          <w:i/>
          <w:iCs/>
          <w:position w:val="16"/>
          <w:sz w:val="28"/>
          <w:szCs w:val="28"/>
        </w:rPr>
        <w:t>Sandry</w:t>
      </w:r>
      <w:proofErr w:type="spellEnd"/>
      <w:r w:rsidRPr="0018242D">
        <w:rPr>
          <w:rFonts w:eastAsia="Calibri"/>
          <w:i/>
          <w:iCs/>
          <w:position w:val="16"/>
          <w:sz w:val="28"/>
          <w:szCs w:val="28"/>
        </w:rPr>
        <w:t xml:space="preserve"> v. Brooklyn School District No. 78 of Williams County</w:t>
      </w:r>
      <w:r w:rsidRPr="0018242D">
        <w:rPr>
          <w:rFonts w:eastAsia="Calibri"/>
          <w:position w:val="16"/>
          <w:sz w:val="28"/>
          <w:szCs w:val="28"/>
        </w:rPr>
        <w:t xml:space="preserve"> (1921) 47 N.D. 444. </w:t>
      </w:r>
    </w:p>
    <w:p w:rsidR="0018242D" w:rsidRPr="00D56445" w:rsidRDefault="0018242D" w:rsidP="00B57C85">
      <w:pPr>
        <w:pStyle w:val="ListParagraph"/>
        <w:numPr>
          <w:ilvl w:val="0"/>
          <w:numId w:val="10"/>
        </w:numPr>
        <w:spacing w:line="480" w:lineRule="auto"/>
        <w:jc w:val="both"/>
        <w:rPr>
          <w:rFonts w:eastAsia="Calibri"/>
          <w:b/>
          <w:bCs/>
          <w:sz w:val="28"/>
          <w:szCs w:val="28"/>
          <w:u w:val="single"/>
        </w:rPr>
      </w:pPr>
      <w:r w:rsidRPr="00D56445">
        <w:rPr>
          <w:rFonts w:eastAsia="Calibri"/>
          <w:b/>
          <w:bCs/>
          <w:sz w:val="28"/>
          <w:szCs w:val="28"/>
          <w:u w:val="single"/>
        </w:rPr>
        <w:t>County’s Orders A</w:t>
      </w:r>
      <w:r w:rsidR="00D56445">
        <w:rPr>
          <w:rFonts w:eastAsia="Calibri"/>
          <w:b/>
          <w:bCs/>
          <w:sz w:val="28"/>
          <w:szCs w:val="28"/>
          <w:u w:val="single"/>
        </w:rPr>
        <w:t>re Not Vague, Nor Are They Void.</w:t>
      </w:r>
    </w:p>
    <w:p w:rsidR="0018242D" w:rsidRPr="0018242D" w:rsidRDefault="0018242D" w:rsidP="001624FB">
      <w:pPr>
        <w:spacing w:line="480" w:lineRule="auto"/>
        <w:ind w:firstLine="720"/>
        <w:jc w:val="both"/>
        <w:rPr>
          <w:rFonts w:eastAsia="Calibri"/>
          <w:sz w:val="28"/>
          <w:szCs w:val="28"/>
        </w:rPr>
      </w:pPr>
      <w:r w:rsidRPr="0018242D">
        <w:rPr>
          <w:rFonts w:eastAsia="Calibri"/>
          <w:sz w:val="28"/>
          <w:szCs w:val="28"/>
        </w:rPr>
        <w:t xml:space="preserve">Plaintiffs argue that the Orders </w:t>
      </w:r>
      <w:proofErr w:type="gramStart"/>
      <w:r w:rsidRPr="0018242D">
        <w:rPr>
          <w:rFonts w:eastAsia="Calibri"/>
          <w:sz w:val="28"/>
          <w:szCs w:val="28"/>
        </w:rPr>
        <w:t>Against</w:t>
      </w:r>
      <w:proofErr w:type="gramEnd"/>
      <w:r w:rsidRPr="0018242D">
        <w:rPr>
          <w:rFonts w:eastAsia="Calibri"/>
          <w:sz w:val="28"/>
          <w:szCs w:val="28"/>
        </w:rPr>
        <w:t xml:space="preserve"> Public Gatherings are vague as to their scope and application as to run afoul of the Due Process Clause of the Fourteenth Amendment. [Doc. 8, p. 16, lines 15-16.] Plaintiffs’ sole argument is that the State’s Order uses the word “heed”, which “does not appear to order compliance therewith.” [Doc. 8, p. 16, lines 19-20.] </w:t>
      </w:r>
    </w:p>
    <w:p w:rsidR="0018242D" w:rsidRPr="0018242D" w:rsidRDefault="001624FB" w:rsidP="00B57C85">
      <w:pPr>
        <w:spacing w:line="480" w:lineRule="auto"/>
        <w:jc w:val="both"/>
        <w:rPr>
          <w:rFonts w:eastAsia="Calibri"/>
          <w:sz w:val="28"/>
          <w:szCs w:val="28"/>
        </w:rPr>
      </w:pPr>
      <w:r>
        <w:rPr>
          <w:rFonts w:eastAsia="Calibri"/>
          <w:sz w:val="28"/>
          <w:szCs w:val="28"/>
        </w:rPr>
        <w:tab/>
      </w:r>
      <w:r w:rsidR="0018242D" w:rsidRPr="0018242D">
        <w:rPr>
          <w:rFonts w:eastAsia="Calibri"/>
          <w:sz w:val="28"/>
          <w:szCs w:val="28"/>
        </w:rPr>
        <w:t>Vague statutes are objectionable for three primary reasons. First, they trap the innocent by not providing adequate warning. Second, they impermissibly delegate basic policy matters to lower level officials for resolution on an ad hoc and subjective basis, with the attendant dangers of arbitrary and discriminatory application. Third, when vague statutes involve sensitive areas of First Amendment freedoms, they operate to inhibit the exercise of those freedoms. </w:t>
      </w:r>
      <w:r w:rsidR="0018242D" w:rsidRPr="0018242D">
        <w:rPr>
          <w:rFonts w:eastAsia="Calibri"/>
          <w:i/>
          <w:iCs/>
          <w:sz w:val="28"/>
          <w:szCs w:val="28"/>
        </w:rPr>
        <w:t xml:space="preserve"> </w:t>
      </w:r>
      <w:r w:rsidR="0018242D" w:rsidRPr="0018242D">
        <w:rPr>
          <w:rFonts w:eastAsia="Calibri"/>
          <w:sz w:val="28"/>
          <w:szCs w:val="28"/>
        </w:rPr>
        <w:t>[</w:t>
      </w:r>
      <w:proofErr w:type="spellStart"/>
      <w:r w:rsidR="0018242D" w:rsidRPr="0018242D">
        <w:rPr>
          <w:rFonts w:eastAsia="Calibri"/>
          <w:i/>
          <w:iCs/>
          <w:sz w:val="28"/>
          <w:szCs w:val="28"/>
        </w:rPr>
        <w:t>Foti</w:t>
      </w:r>
      <w:proofErr w:type="spellEnd"/>
      <w:r w:rsidR="0018242D" w:rsidRPr="0018242D">
        <w:rPr>
          <w:rFonts w:eastAsia="Calibri"/>
          <w:i/>
          <w:iCs/>
          <w:sz w:val="28"/>
          <w:szCs w:val="28"/>
        </w:rPr>
        <w:t>,</w:t>
      </w:r>
      <w:r w:rsidR="0018242D" w:rsidRPr="0018242D">
        <w:rPr>
          <w:rFonts w:eastAsia="Calibri"/>
          <w:sz w:val="28"/>
          <w:szCs w:val="28"/>
        </w:rPr>
        <w:t> 146 F.3d at 638.] </w:t>
      </w:r>
    </w:p>
    <w:p w:rsidR="0018242D" w:rsidRPr="0018242D" w:rsidRDefault="0018242D" w:rsidP="001624FB">
      <w:pPr>
        <w:spacing w:line="480" w:lineRule="auto"/>
        <w:ind w:firstLine="720"/>
        <w:jc w:val="both"/>
        <w:rPr>
          <w:rFonts w:eastAsia="Calibri"/>
          <w:sz w:val="28"/>
          <w:szCs w:val="28"/>
        </w:rPr>
      </w:pPr>
      <w:r w:rsidRPr="0018242D">
        <w:rPr>
          <w:rFonts w:eastAsia="Calibri"/>
          <w:sz w:val="28"/>
          <w:szCs w:val="28"/>
        </w:rPr>
        <w:t xml:space="preserve">Nevertheless, perfect clarity is not required even when a law regulates </w:t>
      </w:r>
      <w:r w:rsidR="001624FB">
        <w:rPr>
          <w:rFonts w:eastAsia="Calibri"/>
          <w:sz w:val="28"/>
          <w:szCs w:val="28"/>
        </w:rPr>
        <w:t xml:space="preserve">protected </w:t>
      </w:r>
      <w:r w:rsidRPr="0018242D">
        <w:rPr>
          <w:rFonts w:eastAsia="Calibri"/>
          <w:sz w:val="28"/>
          <w:szCs w:val="28"/>
        </w:rPr>
        <w:t>speech. [</w:t>
      </w:r>
      <w:r w:rsidRPr="0018242D">
        <w:rPr>
          <w:rFonts w:eastAsia="Calibri"/>
          <w:i/>
          <w:iCs/>
          <w:sz w:val="28"/>
          <w:szCs w:val="28"/>
        </w:rPr>
        <w:t xml:space="preserve">Ward v. Rock </w:t>
      </w:r>
      <w:proofErr w:type="gramStart"/>
      <w:r w:rsidRPr="0018242D">
        <w:rPr>
          <w:rFonts w:eastAsia="Calibri"/>
          <w:i/>
          <w:iCs/>
          <w:sz w:val="28"/>
          <w:szCs w:val="28"/>
        </w:rPr>
        <w:t>Against</w:t>
      </w:r>
      <w:proofErr w:type="gramEnd"/>
      <w:r w:rsidRPr="0018242D">
        <w:rPr>
          <w:rFonts w:eastAsia="Calibri"/>
          <w:i/>
          <w:iCs/>
          <w:sz w:val="28"/>
          <w:szCs w:val="28"/>
        </w:rPr>
        <w:t xml:space="preserve"> Racism,</w:t>
      </w:r>
      <w:r w:rsidRPr="0018242D">
        <w:rPr>
          <w:rFonts w:eastAsia="Calibri"/>
          <w:sz w:val="28"/>
          <w:szCs w:val="28"/>
        </w:rPr>
        <w:t> 491 U.S. 781, 794 (1989).] “Condemned to the use of words, we can never expect mathematical certainty from our language.” [</w:t>
      </w:r>
      <w:proofErr w:type="spellStart"/>
      <w:r w:rsidRPr="0018242D">
        <w:rPr>
          <w:rFonts w:eastAsia="Calibri"/>
          <w:i/>
          <w:iCs/>
          <w:sz w:val="28"/>
          <w:szCs w:val="28"/>
        </w:rPr>
        <w:t>Grayned</w:t>
      </w:r>
      <w:proofErr w:type="spellEnd"/>
      <w:r w:rsidRPr="0018242D">
        <w:rPr>
          <w:rFonts w:eastAsia="Calibri"/>
          <w:i/>
          <w:iCs/>
          <w:sz w:val="28"/>
          <w:szCs w:val="28"/>
        </w:rPr>
        <w:t>,</w:t>
      </w:r>
      <w:r w:rsidRPr="0018242D">
        <w:rPr>
          <w:rFonts w:eastAsia="Calibri"/>
          <w:sz w:val="28"/>
          <w:szCs w:val="28"/>
        </w:rPr>
        <w:t xml:space="preserve"> 408 </w:t>
      </w:r>
      <w:r w:rsidRPr="0018242D">
        <w:rPr>
          <w:rFonts w:eastAsia="Calibri"/>
          <w:sz w:val="28"/>
          <w:szCs w:val="28"/>
        </w:rPr>
        <w:lastRenderedPageBreak/>
        <w:t xml:space="preserve">U.S. at 110, 92 </w:t>
      </w:r>
      <w:proofErr w:type="spellStart"/>
      <w:r w:rsidRPr="0018242D">
        <w:rPr>
          <w:rFonts w:eastAsia="Calibri"/>
          <w:sz w:val="28"/>
          <w:szCs w:val="28"/>
        </w:rPr>
        <w:t>S.Ct</w:t>
      </w:r>
      <w:proofErr w:type="spellEnd"/>
      <w:r w:rsidRPr="0018242D">
        <w:rPr>
          <w:rFonts w:eastAsia="Calibri"/>
          <w:sz w:val="28"/>
          <w:szCs w:val="28"/>
        </w:rPr>
        <w:t>. 2294; </w:t>
      </w:r>
      <w:r w:rsidRPr="0018242D">
        <w:rPr>
          <w:rFonts w:eastAsia="Calibri"/>
          <w:i/>
          <w:iCs/>
          <w:sz w:val="28"/>
          <w:szCs w:val="28"/>
        </w:rPr>
        <w:t>see </w:t>
      </w:r>
      <w:proofErr w:type="spellStart"/>
      <w:r w:rsidRPr="0018242D">
        <w:rPr>
          <w:rFonts w:eastAsia="Calibri"/>
          <w:i/>
          <w:iCs/>
          <w:sz w:val="28"/>
          <w:szCs w:val="28"/>
        </w:rPr>
        <w:t>Kolender</w:t>
      </w:r>
      <w:proofErr w:type="spellEnd"/>
      <w:r w:rsidRPr="0018242D">
        <w:rPr>
          <w:rFonts w:eastAsia="Calibri"/>
          <w:i/>
          <w:iCs/>
          <w:sz w:val="28"/>
          <w:szCs w:val="28"/>
        </w:rPr>
        <w:t xml:space="preserve"> v. Lawson,</w:t>
      </w:r>
      <w:r w:rsidRPr="0018242D">
        <w:rPr>
          <w:rFonts w:eastAsia="Calibri"/>
          <w:sz w:val="28"/>
          <w:szCs w:val="28"/>
        </w:rPr>
        <w:t> 461 U.S. 352, 361 (1983) (even in the strictest sense, “due process does not require impossible standards of clarity”) (quotation marks omitted).]</w:t>
      </w:r>
    </w:p>
    <w:p w:rsidR="0018242D" w:rsidRPr="0018242D" w:rsidRDefault="004273FA" w:rsidP="004273FA">
      <w:pPr>
        <w:spacing w:line="480" w:lineRule="auto"/>
        <w:jc w:val="both"/>
        <w:rPr>
          <w:rFonts w:eastAsia="Calibri"/>
          <w:sz w:val="28"/>
          <w:szCs w:val="28"/>
        </w:rPr>
      </w:pPr>
      <w:r>
        <w:rPr>
          <w:rFonts w:eastAsia="Calibri"/>
          <w:sz w:val="28"/>
          <w:szCs w:val="28"/>
        </w:rPr>
        <w:t xml:space="preserve"> </w:t>
      </w:r>
      <w:r>
        <w:rPr>
          <w:rFonts w:eastAsia="Calibri"/>
          <w:sz w:val="28"/>
          <w:szCs w:val="28"/>
        </w:rPr>
        <w:tab/>
      </w:r>
      <w:r w:rsidR="0018242D" w:rsidRPr="0018242D">
        <w:rPr>
          <w:rFonts w:eastAsia="Calibri"/>
          <w:sz w:val="28"/>
          <w:szCs w:val="28"/>
        </w:rPr>
        <w:t>Therefore, even when a law implica</w:t>
      </w:r>
      <w:r>
        <w:rPr>
          <w:rFonts w:eastAsia="Calibri"/>
          <w:sz w:val="28"/>
          <w:szCs w:val="28"/>
        </w:rPr>
        <w:t xml:space="preserve">tes First Amendment rights, the </w:t>
      </w:r>
      <w:r w:rsidR="0018242D" w:rsidRPr="0018242D">
        <w:rPr>
          <w:rFonts w:eastAsia="Calibri"/>
          <w:sz w:val="28"/>
          <w:szCs w:val="28"/>
        </w:rPr>
        <w:t>constitution must tolerate a certain amount of vagueness. Indeed, uncertainty at a statute's margins will not warrant facial invalidation if it is clear what the statute proscribes “in the vast majority of its intended applications.” [</w:t>
      </w:r>
      <w:r w:rsidR="0018242D" w:rsidRPr="0018242D">
        <w:rPr>
          <w:rFonts w:eastAsia="Calibri"/>
          <w:i/>
          <w:iCs/>
          <w:sz w:val="28"/>
          <w:szCs w:val="28"/>
        </w:rPr>
        <w:t>Hill v. Colorado,</w:t>
      </w:r>
      <w:r w:rsidR="0018242D" w:rsidRPr="0018242D">
        <w:rPr>
          <w:rFonts w:eastAsia="Calibri"/>
          <w:sz w:val="28"/>
          <w:szCs w:val="28"/>
        </w:rPr>
        <w:t xml:space="preserve"> 530 U.S. 703, 733, 120 </w:t>
      </w:r>
      <w:proofErr w:type="spellStart"/>
      <w:r w:rsidR="0018242D" w:rsidRPr="0018242D">
        <w:rPr>
          <w:rFonts w:eastAsia="Calibri"/>
          <w:sz w:val="28"/>
          <w:szCs w:val="28"/>
        </w:rPr>
        <w:t>S.Ct</w:t>
      </w:r>
      <w:proofErr w:type="spellEnd"/>
      <w:r w:rsidR="0018242D" w:rsidRPr="0018242D">
        <w:rPr>
          <w:rFonts w:eastAsia="Calibri"/>
          <w:sz w:val="28"/>
          <w:szCs w:val="28"/>
        </w:rPr>
        <w:t>. 2480 (2000) (quotation marks omitted).]</w:t>
      </w:r>
    </w:p>
    <w:p w:rsidR="0018242D" w:rsidRPr="0018242D" w:rsidRDefault="004273FA" w:rsidP="004273FA">
      <w:pPr>
        <w:spacing w:line="480" w:lineRule="auto"/>
        <w:jc w:val="both"/>
        <w:rPr>
          <w:rFonts w:eastAsia="Calibri"/>
          <w:sz w:val="28"/>
          <w:szCs w:val="28"/>
        </w:rPr>
      </w:pPr>
      <w:r>
        <w:rPr>
          <w:rFonts w:eastAsia="Calibri"/>
          <w:sz w:val="28"/>
          <w:szCs w:val="28"/>
        </w:rPr>
        <w:tab/>
      </w:r>
      <w:r w:rsidR="0018242D" w:rsidRPr="0018242D">
        <w:rPr>
          <w:rFonts w:eastAsia="Calibri"/>
          <w:sz w:val="28"/>
          <w:szCs w:val="28"/>
        </w:rPr>
        <w:t xml:space="preserve">Plaintiffs argue that no reasonable person can understand a “stay-at-home” order and nitpicks at words such as “heed” and “visitors”. Plaintiffs ignore the intent and application of the Orders </w:t>
      </w:r>
      <w:proofErr w:type="gramStart"/>
      <w:r w:rsidR="0018242D" w:rsidRPr="0018242D">
        <w:rPr>
          <w:rFonts w:eastAsia="Calibri"/>
          <w:sz w:val="28"/>
          <w:szCs w:val="28"/>
        </w:rPr>
        <w:t>Against</w:t>
      </w:r>
      <w:proofErr w:type="gramEnd"/>
      <w:r w:rsidR="0018242D" w:rsidRPr="0018242D">
        <w:rPr>
          <w:rFonts w:eastAsia="Calibri"/>
          <w:sz w:val="28"/>
          <w:szCs w:val="28"/>
        </w:rPr>
        <w:t xml:space="preserve"> Public Gatherings – to stay home and prevent the spread of COVID-19. Indeed, the touchstone of a facial vagueness challenge in the First Amendment context does not turn on the words “heed” and “visitors”, but on a substantial amount of legitimate speech that can be burdened. No such burden exists here and the Orders </w:t>
      </w:r>
      <w:proofErr w:type="gramStart"/>
      <w:r w:rsidR="0018242D" w:rsidRPr="0018242D">
        <w:rPr>
          <w:rFonts w:eastAsia="Calibri"/>
          <w:sz w:val="28"/>
          <w:szCs w:val="28"/>
        </w:rPr>
        <w:t>Against</w:t>
      </w:r>
      <w:proofErr w:type="gramEnd"/>
      <w:r w:rsidR="0018242D" w:rsidRPr="0018242D">
        <w:rPr>
          <w:rFonts w:eastAsia="Calibri"/>
          <w:sz w:val="28"/>
          <w:szCs w:val="28"/>
        </w:rPr>
        <w:t xml:space="preserve"> Public Gatherings are not void, nor are they vague.  </w:t>
      </w:r>
    </w:p>
    <w:p w:rsidR="0018242D" w:rsidRPr="00D56445" w:rsidRDefault="0018242D" w:rsidP="0018242D">
      <w:pPr>
        <w:pStyle w:val="ListParagraph"/>
        <w:numPr>
          <w:ilvl w:val="0"/>
          <w:numId w:val="10"/>
        </w:numPr>
        <w:spacing w:line="480" w:lineRule="auto"/>
        <w:rPr>
          <w:rFonts w:eastAsia="Calibri"/>
          <w:b/>
          <w:bCs/>
          <w:sz w:val="28"/>
          <w:szCs w:val="28"/>
          <w:u w:val="single"/>
        </w:rPr>
      </w:pPr>
      <w:r w:rsidRPr="0018242D">
        <w:rPr>
          <w:rFonts w:eastAsia="Calibri"/>
          <w:b/>
          <w:bCs/>
          <w:sz w:val="28"/>
          <w:szCs w:val="28"/>
        </w:rPr>
        <w:t xml:space="preserve"> </w:t>
      </w:r>
      <w:r w:rsidRPr="00D56445">
        <w:rPr>
          <w:rFonts w:eastAsia="Calibri"/>
          <w:b/>
          <w:bCs/>
          <w:sz w:val="28"/>
          <w:szCs w:val="28"/>
          <w:u w:val="single"/>
        </w:rPr>
        <w:t xml:space="preserve">Plaintiffs’ General Due </w:t>
      </w:r>
      <w:r w:rsidR="00D56445">
        <w:rPr>
          <w:rFonts w:eastAsia="Calibri"/>
          <w:b/>
          <w:bCs/>
          <w:sz w:val="28"/>
          <w:szCs w:val="28"/>
          <w:u w:val="single"/>
        </w:rPr>
        <w:t>Process Argument Fails.</w:t>
      </w:r>
    </w:p>
    <w:p w:rsidR="0018242D" w:rsidRPr="0018242D" w:rsidRDefault="0018242D" w:rsidP="004273FA">
      <w:pPr>
        <w:spacing w:line="480" w:lineRule="auto"/>
        <w:ind w:firstLine="720"/>
        <w:jc w:val="both"/>
        <w:rPr>
          <w:rFonts w:eastAsia="Calibri"/>
          <w:sz w:val="28"/>
          <w:szCs w:val="28"/>
        </w:rPr>
      </w:pPr>
      <w:r w:rsidRPr="0018242D">
        <w:rPr>
          <w:rFonts w:eastAsia="Calibri"/>
          <w:sz w:val="28"/>
          <w:szCs w:val="28"/>
        </w:rPr>
        <w:t xml:space="preserve">Plaintiffs argue that their substantive due process rights have secured by the Fourteenth Amendment have been violated.  For purposes of this TRO, this Court should not engage in a generalized substantive due process argument as Plaintiffs’ rights are being determined by the First Amendment. In other words, Plaintiffs’ claim should be analyzed under the First Amendment to free exercise of religion rather than any generalized notion of </w:t>
      </w:r>
      <w:r w:rsidRPr="0018242D">
        <w:rPr>
          <w:rFonts w:eastAsia="Calibri"/>
          <w:sz w:val="28"/>
          <w:szCs w:val="28"/>
        </w:rPr>
        <w:lastRenderedPageBreak/>
        <w:t>substantive due process under the Fourteenth Amendment. [</w:t>
      </w:r>
      <w:r w:rsidRPr="0018242D">
        <w:rPr>
          <w:rFonts w:eastAsia="Calibri"/>
          <w:i/>
          <w:iCs/>
          <w:sz w:val="28"/>
          <w:szCs w:val="28"/>
        </w:rPr>
        <w:t>Albright v. Oliver</w:t>
      </w:r>
      <w:r w:rsidRPr="0018242D">
        <w:rPr>
          <w:rFonts w:eastAsia="Calibri"/>
          <w:sz w:val="28"/>
          <w:szCs w:val="28"/>
        </w:rPr>
        <w:t xml:space="preserve">, 510 U.S. 266, 273-274 (1994).] </w:t>
      </w:r>
    </w:p>
    <w:p w:rsidR="0018242D" w:rsidRPr="00D56445" w:rsidRDefault="0018242D" w:rsidP="0018242D">
      <w:pPr>
        <w:pStyle w:val="ListParagraph"/>
        <w:numPr>
          <w:ilvl w:val="0"/>
          <w:numId w:val="10"/>
        </w:numPr>
        <w:spacing w:line="480" w:lineRule="auto"/>
        <w:rPr>
          <w:rFonts w:eastAsia="Calibri"/>
          <w:b/>
          <w:bCs/>
          <w:sz w:val="28"/>
          <w:szCs w:val="28"/>
          <w:u w:val="single"/>
        </w:rPr>
      </w:pPr>
      <w:r w:rsidRPr="00D56445">
        <w:rPr>
          <w:rFonts w:eastAsia="Calibri"/>
          <w:b/>
          <w:bCs/>
          <w:sz w:val="28"/>
          <w:szCs w:val="28"/>
          <w:u w:val="single"/>
        </w:rPr>
        <w:t>Plaintiffs’ Right to Liberty Has Not Been Violated</w:t>
      </w:r>
      <w:r w:rsidR="00D56445">
        <w:rPr>
          <w:rFonts w:eastAsia="Calibri"/>
          <w:b/>
          <w:bCs/>
          <w:sz w:val="28"/>
          <w:szCs w:val="28"/>
          <w:u w:val="single"/>
        </w:rPr>
        <w:t>.</w:t>
      </w:r>
    </w:p>
    <w:p w:rsidR="0018242D" w:rsidRPr="0018242D" w:rsidRDefault="0018242D" w:rsidP="004273FA">
      <w:pPr>
        <w:spacing w:line="480" w:lineRule="auto"/>
        <w:ind w:firstLine="720"/>
        <w:jc w:val="both"/>
        <w:rPr>
          <w:rFonts w:eastAsia="Calibri"/>
          <w:sz w:val="28"/>
          <w:szCs w:val="28"/>
        </w:rPr>
      </w:pPr>
      <w:r w:rsidRPr="0018242D">
        <w:rPr>
          <w:rFonts w:eastAsia="Calibri"/>
          <w:sz w:val="28"/>
          <w:szCs w:val="28"/>
        </w:rPr>
        <w:t xml:space="preserve">Plaintiffs’ next argue that the Orders </w:t>
      </w:r>
      <w:proofErr w:type="gramStart"/>
      <w:r w:rsidRPr="0018242D">
        <w:rPr>
          <w:rFonts w:eastAsia="Calibri"/>
          <w:sz w:val="28"/>
          <w:szCs w:val="28"/>
        </w:rPr>
        <w:t>Against</w:t>
      </w:r>
      <w:proofErr w:type="gramEnd"/>
      <w:r w:rsidRPr="0018242D">
        <w:rPr>
          <w:rFonts w:eastAsia="Calibri"/>
          <w:sz w:val="28"/>
          <w:szCs w:val="28"/>
        </w:rPr>
        <w:t xml:space="preserve"> Public Gatherings violate the California Constitution’s right to liberty. [Doc. 8, p. 19, line 2.] Plaintiffs’ further argue that because Plaintiffs have never had, been exposed to or been in a locality of the coronavirus, they are being arbitrarily detained. </w:t>
      </w:r>
    </w:p>
    <w:p w:rsidR="0018242D" w:rsidRPr="0018242D" w:rsidRDefault="004273FA" w:rsidP="004273FA">
      <w:pPr>
        <w:spacing w:line="480" w:lineRule="auto"/>
        <w:jc w:val="both"/>
        <w:rPr>
          <w:rFonts w:eastAsia="Calibri"/>
          <w:sz w:val="28"/>
          <w:szCs w:val="28"/>
        </w:rPr>
      </w:pPr>
      <w:r>
        <w:rPr>
          <w:rFonts w:eastAsia="Calibri"/>
          <w:sz w:val="28"/>
          <w:szCs w:val="28"/>
        </w:rPr>
        <w:tab/>
      </w:r>
      <w:r w:rsidR="0018242D" w:rsidRPr="0018242D">
        <w:rPr>
          <w:rFonts w:eastAsia="Calibri"/>
          <w:sz w:val="28"/>
          <w:szCs w:val="28"/>
        </w:rPr>
        <w:t xml:space="preserve">As a threshold point, it is interesting to note that Plaintiffs do not state whether they have been tested or not for COVID-19, especially in light of pre-symptomatic and asymptomatic carriers that have been transmitting the disease around the world. Notwithstanding those undisputable facts, Plaintiffs’ argument is that it is outside the local health official’s powers to assert a quarantine because there has been “only one death for every 70,464 inhabitants”. [Doc. 8, p. 19, lines 21-25.] Plaintiffs, of course, ignore the number of individuals hospitalized by COVID-19 in both counties, the limited number of hospitals and hospital beds in both counties, the limited number of ventilators in the counties, or the fact that health care professionals are being overwhelmed by the disease. </w:t>
      </w:r>
    </w:p>
    <w:p w:rsidR="0018242D" w:rsidRPr="0018242D" w:rsidRDefault="004273FA" w:rsidP="004273FA">
      <w:pPr>
        <w:spacing w:line="480" w:lineRule="auto"/>
        <w:jc w:val="both"/>
        <w:rPr>
          <w:rFonts w:eastAsia="Calibri"/>
          <w:sz w:val="28"/>
          <w:szCs w:val="28"/>
        </w:rPr>
      </w:pPr>
      <w:r>
        <w:rPr>
          <w:rFonts w:eastAsia="Calibri"/>
          <w:sz w:val="28"/>
          <w:szCs w:val="28"/>
        </w:rPr>
        <w:tab/>
      </w:r>
      <w:r w:rsidR="0018242D" w:rsidRPr="0018242D">
        <w:rPr>
          <w:rFonts w:eastAsia="Calibri"/>
          <w:sz w:val="28"/>
          <w:szCs w:val="28"/>
        </w:rPr>
        <w:t xml:space="preserve">With respect to the </w:t>
      </w:r>
      <w:r w:rsidR="0018242D" w:rsidRPr="0018242D">
        <w:rPr>
          <w:rFonts w:eastAsia="Calibri"/>
          <w:i/>
          <w:iCs/>
          <w:sz w:val="28"/>
          <w:szCs w:val="28"/>
        </w:rPr>
        <w:t>Jew Ho</w:t>
      </w:r>
      <w:r w:rsidR="0018242D" w:rsidRPr="0018242D">
        <w:rPr>
          <w:rFonts w:eastAsia="Calibri"/>
          <w:sz w:val="28"/>
          <w:szCs w:val="28"/>
        </w:rPr>
        <w:t xml:space="preserve"> case cited by the Plaintiffs, th</w:t>
      </w:r>
      <w:r>
        <w:rPr>
          <w:rFonts w:eastAsia="Calibri"/>
          <w:sz w:val="28"/>
          <w:szCs w:val="28"/>
        </w:rPr>
        <w:t xml:space="preserve">e facts are </w:t>
      </w:r>
      <w:r w:rsidR="0018242D" w:rsidRPr="0018242D">
        <w:rPr>
          <w:rFonts w:eastAsia="Calibri"/>
          <w:sz w:val="28"/>
          <w:szCs w:val="28"/>
        </w:rPr>
        <w:t>significantly different than those currently facing California. In that case, there was no living person with the bubonic plague! [</w:t>
      </w:r>
      <w:r w:rsidR="0018242D" w:rsidRPr="0018242D">
        <w:rPr>
          <w:rFonts w:eastAsia="Calibri"/>
          <w:i/>
          <w:iCs/>
          <w:sz w:val="28"/>
          <w:szCs w:val="28"/>
        </w:rPr>
        <w:t>Jew Ho v. Williamson</w:t>
      </w:r>
      <w:r w:rsidR="0018242D" w:rsidRPr="0018242D">
        <w:rPr>
          <w:rFonts w:eastAsia="Calibri"/>
          <w:sz w:val="28"/>
          <w:szCs w:val="28"/>
        </w:rPr>
        <w:t xml:space="preserve">, 104 F.10. (C.C. Cal.1900). Again, Plaintiffs simply ignore the fact that there are over </w:t>
      </w:r>
      <w:r w:rsidRPr="004273FA">
        <w:rPr>
          <w:rFonts w:eastAsia="Calibri"/>
          <w:sz w:val="28"/>
          <w:szCs w:val="28"/>
        </w:rPr>
        <w:t xml:space="preserve">27,098 </w:t>
      </w:r>
      <w:r w:rsidR="0018242D" w:rsidRPr="0018242D">
        <w:rPr>
          <w:rFonts w:eastAsia="Calibri"/>
          <w:sz w:val="28"/>
          <w:szCs w:val="28"/>
        </w:rPr>
        <w:t xml:space="preserve">known infections </w:t>
      </w:r>
      <w:r w:rsidR="00D56445" w:rsidRPr="00D56445">
        <w:rPr>
          <w:rFonts w:eastAsia="Calibri"/>
          <w:sz w:val="28"/>
          <w:szCs w:val="28"/>
        </w:rPr>
        <w:t xml:space="preserve">and 405 deaths </w:t>
      </w:r>
      <w:r w:rsidR="0018242D" w:rsidRPr="0018242D">
        <w:rPr>
          <w:rFonts w:eastAsia="Calibri"/>
          <w:sz w:val="28"/>
          <w:szCs w:val="28"/>
        </w:rPr>
        <w:t xml:space="preserve">in California and the disease is spread through human-to-human interaction. </w:t>
      </w:r>
    </w:p>
    <w:p w:rsidR="0018242D" w:rsidRPr="00D56445" w:rsidRDefault="00D56445" w:rsidP="00D56445">
      <w:pPr>
        <w:spacing w:line="480" w:lineRule="auto"/>
        <w:ind w:firstLine="720"/>
        <w:jc w:val="both"/>
        <w:rPr>
          <w:rFonts w:eastAsia="Calibri"/>
          <w:i/>
          <w:sz w:val="28"/>
          <w:szCs w:val="28"/>
        </w:rPr>
      </w:pPr>
      <w:r>
        <w:rPr>
          <w:rFonts w:eastAsia="Calibri"/>
          <w:sz w:val="28"/>
          <w:szCs w:val="28"/>
        </w:rPr>
        <w:lastRenderedPageBreak/>
        <w:t>T</w:t>
      </w:r>
      <w:r w:rsidR="0018242D" w:rsidRPr="0018242D">
        <w:rPr>
          <w:rFonts w:eastAsia="Calibri"/>
          <w:sz w:val="28"/>
          <w:szCs w:val="28"/>
        </w:rPr>
        <w:t xml:space="preserve">he Covid-19 virus has created both a health emergency as defined by </w:t>
      </w:r>
      <w:r w:rsidR="0018242D" w:rsidRPr="0018242D">
        <w:rPr>
          <w:rFonts w:eastAsia="Calibri"/>
          <w:i/>
          <w:sz w:val="28"/>
          <w:szCs w:val="28"/>
        </w:rPr>
        <w:t>Health &amp; Safety Code</w:t>
      </w:r>
      <w:r w:rsidR="0018242D" w:rsidRPr="0018242D">
        <w:rPr>
          <w:rFonts w:eastAsia="Calibri"/>
          <w:sz w:val="28"/>
          <w:szCs w:val="28"/>
        </w:rPr>
        <w:t xml:space="preserve"> section 101080 and a local emergency as defined by </w:t>
      </w:r>
      <w:r w:rsidR="0018242D" w:rsidRPr="0018242D">
        <w:rPr>
          <w:rFonts w:eastAsia="Calibri"/>
          <w:i/>
          <w:sz w:val="28"/>
          <w:szCs w:val="28"/>
        </w:rPr>
        <w:t>Government Code</w:t>
      </w:r>
      <w:r w:rsidR="0018242D" w:rsidRPr="0018242D">
        <w:rPr>
          <w:rFonts w:eastAsia="Calibri"/>
          <w:sz w:val="28"/>
          <w:szCs w:val="28"/>
        </w:rPr>
        <w:t xml:space="preserve"> section 8558 for the State of California including the County of Riverside.  As such, based upon these statutes, Dr. Kaiser, as the County of Riverside’s Public Health Officer, may promulgate orders as necessary to protect life and property pursuant to </w:t>
      </w:r>
      <w:r w:rsidR="0018242D" w:rsidRPr="0018242D">
        <w:rPr>
          <w:rFonts w:eastAsia="Calibri"/>
          <w:i/>
          <w:sz w:val="28"/>
          <w:szCs w:val="28"/>
        </w:rPr>
        <w:t>Government Code</w:t>
      </w:r>
      <w:r w:rsidR="0018242D" w:rsidRPr="0018242D">
        <w:rPr>
          <w:rFonts w:eastAsia="Calibri"/>
          <w:sz w:val="28"/>
          <w:szCs w:val="28"/>
        </w:rPr>
        <w:t xml:space="preserve"> section 8684.  “Each health officer knowing or having reason to believe that any case of the diseases made reportable by regulation of the department, or any other contagious, infectious or communicable disease exists, or has recently existed, within the territory under his or her jurisdiction, shall take measures as may be necessary to prevent the spread of the disease or occurrence of additional cases.”  </w:t>
      </w:r>
      <w:r w:rsidR="0018242D" w:rsidRPr="0018242D">
        <w:rPr>
          <w:rFonts w:eastAsia="Calibri"/>
          <w:i/>
          <w:sz w:val="28"/>
          <w:szCs w:val="28"/>
        </w:rPr>
        <w:t>Health &amp; Safety Code</w:t>
      </w:r>
      <w:r w:rsidR="0018242D" w:rsidRPr="0018242D">
        <w:rPr>
          <w:rFonts w:eastAsia="Calibri"/>
          <w:sz w:val="28"/>
          <w:szCs w:val="28"/>
        </w:rPr>
        <w:t xml:space="preserve"> section 120175.  </w:t>
      </w:r>
      <w:r w:rsidR="0018242D" w:rsidRPr="0018242D">
        <w:rPr>
          <w:rFonts w:eastAsia="Calibri"/>
          <w:i/>
          <w:sz w:val="28"/>
          <w:szCs w:val="28"/>
        </w:rPr>
        <w:t>See</w:t>
      </w:r>
      <w:r w:rsidR="0018242D" w:rsidRPr="0018242D">
        <w:rPr>
          <w:rFonts w:eastAsia="Calibri"/>
          <w:sz w:val="28"/>
          <w:szCs w:val="28"/>
        </w:rPr>
        <w:t xml:space="preserve"> also 17 C.C.R. section 2501(a) which states in relevant part: “Upon receiving a report made pursuant to Section 2500 or 2505, the local health officer shall take whatever steps deemed necessary for the investigation and control of the disease, condition or outbreak reported.”   Thus, Dr. Kaiser, as the local Health Officer, may take any measures as may be necessary to prevent the spread of disease or the occurrence of additional cases.</w:t>
      </w:r>
    </w:p>
    <w:p w:rsidR="0018242D" w:rsidRDefault="0018242D" w:rsidP="00D56445">
      <w:pPr>
        <w:spacing w:line="480" w:lineRule="auto"/>
        <w:jc w:val="both"/>
        <w:rPr>
          <w:rFonts w:eastAsia="Calibri"/>
          <w:sz w:val="28"/>
          <w:szCs w:val="28"/>
        </w:rPr>
      </w:pPr>
      <w:r w:rsidRPr="0018242D">
        <w:rPr>
          <w:rFonts w:eastAsia="Calibri"/>
          <w:sz w:val="28"/>
          <w:szCs w:val="28"/>
        </w:rPr>
        <w:tab/>
        <w:t xml:space="preserve">Notably, </w:t>
      </w:r>
      <w:r w:rsidRPr="0018242D">
        <w:rPr>
          <w:rFonts w:eastAsia="Calibri"/>
          <w:i/>
          <w:sz w:val="28"/>
          <w:szCs w:val="28"/>
        </w:rPr>
        <w:t>Health and Safety Code</w:t>
      </w:r>
      <w:r w:rsidRPr="0018242D">
        <w:rPr>
          <w:rFonts w:eastAsia="Calibri"/>
          <w:sz w:val="28"/>
          <w:szCs w:val="28"/>
        </w:rPr>
        <w:t xml:space="preserve"> section 120175 specifically states it is the duty of the Health Officer to investigate all cases, to ascertain the sources of infection, and to take “all measures reasonably necessary to prevent the transmission of infection.”  </w:t>
      </w:r>
      <w:r w:rsidRPr="0018242D">
        <w:rPr>
          <w:rFonts w:eastAsia="Calibri"/>
          <w:i/>
          <w:sz w:val="28"/>
          <w:szCs w:val="28"/>
        </w:rPr>
        <w:t>Aids Healthcare Foundation v. Los Angeles County Department of Health</w:t>
      </w:r>
      <w:r w:rsidRPr="0018242D">
        <w:rPr>
          <w:rFonts w:eastAsia="Calibri"/>
          <w:sz w:val="28"/>
          <w:szCs w:val="28"/>
        </w:rPr>
        <w:t xml:space="preserve"> (2011) 197 </w:t>
      </w:r>
      <w:proofErr w:type="spellStart"/>
      <w:r w:rsidRPr="0018242D">
        <w:rPr>
          <w:rFonts w:eastAsia="Calibri"/>
          <w:sz w:val="28"/>
          <w:szCs w:val="28"/>
        </w:rPr>
        <w:t>Cal.App</w:t>
      </w:r>
      <w:proofErr w:type="spellEnd"/>
      <w:r w:rsidRPr="0018242D">
        <w:rPr>
          <w:rFonts w:eastAsia="Calibri"/>
          <w:sz w:val="28"/>
          <w:szCs w:val="28"/>
        </w:rPr>
        <w:t>. 8</w:t>
      </w:r>
      <w:r w:rsidRPr="0018242D">
        <w:rPr>
          <w:rFonts w:eastAsia="Calibri"/>
          <w:sz w:val="28"/>
          <w:szCs w:val="28"/>
          <w:vertAlign w:val="superscript"/>
        </w:rPr>
        <w:t>th</w:t>
      </w:r>
      <w:r w:rsidRPr="0018242D">
        <w:rPr>
          <w:rFonts w:eastAsia="Calibri"/>
          <w:sz w:val="28"/>
          <w:szCs w:val="28"/>
        </w:rPr>
        <w:t xml:space="preserve"> 693, 701-702.  “The health officer must take “measures as may be necessary,” or “reasonably necessary,” to achieve the Department's goals and policies, leaving the course </w:t>
      </w:r>
      <w:r w:rsidRPr="0018242D">
        <w:rPr>
          <w:rFonts w:eastAsia="Calibri"/>
          <w:sz w:val="28"/>
          <w:szCs w:val="28"/>
        </w:rPr>
        <w:lastRenderedPageBreak/>
        <w:t>of action to the health officer's discretion. The statutory scheme sets forth certain actions, ranging from quarantine and isolation for contagious and communicable diseases ….” (</w:t>
      </w:r>
      <w:proofErr w:type="gramStart"/>
      <w:r w:rsidRPr="0018242D">
        <w:rPr>
          <w:rFonts w:eastAsia="Calibri"/>
          <w:sz w:val="28"/>
          <w:szCs w:val="28"/>
        </w:rPr>
        <w:t>citations</w:t>
      </w:r>
      <w:proofErr w:type="gramEnd"/>
      <w:r w:rsidRPr="0018242D">
        <w:rPr>
          <w:rFonts w:eastAsia="Calibri"/>
          <w:sz w:val="28"/>
          <w:szCs w:val="28"/>
        </w:rPr>
        <w:t xml:space="preserve"> omitted).  These statutory measures, however, are not exhaustive or mandatory, giving the health officer discretion to act in a particular manner depending upon the circumstances.”  </w:t>
      </w:r>
      <w:r w:rsidRPr="0018242D">
        <w:rPr>
          <w:rFonts w:eastAsia="Calibri"/>
          <w:i/>
          <w:sz w:val="28"/>
          <w:szCs w:val="28"/>
        </w:rPr>
        <w:t>Id</w:t>
      </w:r>
      <w:r w:rsidRPr="0018242D">
        <w:rPr>
          <w:rFonts w:eastAsia="Calibri"/>
          <w:sz w:val="28"/>
          <w:szCs w:val="28"/>
        </w:rPr>
        <w:t xml:space="preserve">. at 702. “Preventative measure” means abatement, correction, removal of </w:t>
      </w:r>
      <w:r w:rsidRPr="0018242D">
        <w:rPr>
          <w:rFonts w:eastAsia="Calibri"/>
          <w:bCs/>
          <w:sz w:val="28"/>
          <w:szCs w:val="28"/>
        </w:rPr>
        <w:t>any other protective step</w:t>
      </w:r>
      <w:r w:rsidRPr="0018242D">
        <w:rPr>
          <w:rFonts w:eastAsia="Calibri"/>
          <w:sz w:val="28"/>
          <w:szCs w:val="28"/>
        </w:rPr>
        <w:t xml:space="preserve"> that may be taken against any public health hazard that is caused by a disaster and affects the public health.  </w:t>
      </w:r>
      <w:r w:rsidRPr="0018242D">
        <w:rPr>
          <w:rFonts w:eastAsia="Calibri"/>
          <w:i/>
          <w:sz w:val="28"/>
          <w:szCs w:val="28"/>
        </w:rPr>
        <w:t>Health &amp; Safety Code</w:t>
      </w:r>
      <w:r w:rsidRPr="0018242D">
        <w:rPr>
          <w:rFonts w:eastAsia="Calibri"/>
          <w:sz w:val="28"/>
          <w:szCs w:val="28"/>
        </w:rPr>
        <w:t xml:space="preserve"> section 101040. (Emphasis added.) </w:t>
      </w:r>
    </w:p>
    <w:p w:rsidR="00B210DC" w:rsidRPr="0018242D" w:rsidRDefault="00B210DC" w:rsidP="00B210DC">
      <w:pPr>
        <w:tabs>
          <w:tab w:val="left" w:pos="720"/>
          <w:tab w:val="left" w:pos="1440"/>
          <w:tab w:val="left" w:pos="2160"/>
        </w:tabs>
        <w:spacing w:line="480" w:lineRule="auto"/>
        <w:jc w:val="both"/>
        <w:rPr>
          <w:position w:val="16"/>
          <w:sz w:val="28"/>
          <w:szCs w:val="28"/>
        </w:rPr>
      </w:pPr>
      <w:r>
        <w:rPr>
          <w:position w:val="16"/>
          <w:sz w:val="28"/>
          <w:szCs w:val="28"/>
        </w:rPr>
        <w:tab/>
      </w:r>
      <w:r w:rsidRPr="0018242D">
        <w:rPr>
          <w:position w:val="16"/>
          <w:sz w:val="28"/>
          <w:szCs w:val="28"/>
        </w:rPr>
        <w:t xml:space="preserve">Based upon the trajectory of the Covid-19 pandemic, Dr. Kaiser determined that the prohibition on public gatherings was necessary: </w:t>
      </w:r>
    </w:p>
    <w:p w:rsidR="00B210DC" w:rsidRPr="0018242D" w:rsidRDefault="00B210DC" w:rsidP="00043103">
      <w:pPr>
        <w:numPr>
          <w:ilvl w:val="0"/>
          <w:numId w:val="8"/>
        </w:numPr>
        <w:tabs>
          <w:tab w:val="left" w:pos="720"/>
          <w:tab w:val="left" w:pos="1440"/>
          <w:tab w:val="left" w:pos="2160"/>
        </w:tabs>
        <w:spacing w:after="200" w:line="480" w:lineRule="auto"/>
        <w:contextualSpacing/>
        <w:jc w:val="both"/>
        <w:rPr>
          <w:rFonts w:eastAsia="Calibri"/>
          <w:position w:val="16"/>
          <w:sz w:val="28"/>
          <w:szCs w:val="28"/>
        </w:rPr>
      </w:pPr>
      <w:r w:rsidRPr="0018242D">
        <w:rPr>
          <w:rFonts w:eastAsia="Calibri"/>
          <w:position w:val="16"/>
          <w:sz w:val="28"/>
          <w:szCs w:val="28"/>
        </w:rPr>
        <w:t>“…as a result of the worldwide pandemic of COVID-19 disease, also known as ‘novel coronavirus,’ which has infected over one million individuals worldwide in over 180 countries and is implicated in over 50,000 worldwide deaths, including over 600 cases and 15 deaths in Riverside County.  These numbers increase significantly every day….</w:t>
      </w:r>
      <w:r w:rsidR="00043103">
        <w:rPr>
          <w:rFonts w:eastAsia="Calibri"/>
          <w:position w:val="16"/>
          <w:sz w:val="28"/>
          <w:szCs w:val="28"/>
        </w:rPr>
        <w:t>”  [</w:t>
      </w:r>
      <w:r w:rsidR="00043103" w:rsidRPr="00043103">
        <w:rPr>
          <w:rFonts w:eastAsia="Calibri"/>
          <w:i/>
          <w:position w:val="16"/>
          <w:sz w:val="28"/>
          <w:szCs w:val="28"/>
        </w:rPr>
        <w:t xml:space="preserve">See </w:t>
      </w:r>
      <w:r w:rsidR="00043103" w:rsidRPr="00043103">
        <w:rPr>
          <w:rFonts w:eastAsia="Calibri"/>
          <w:position w:val="16"/>
          <w:sz w:val="28"/>
          <w:szCs w:val="28"/>
        </w:rPr>
        <w:t xml:space="preserve">Kaiser Declaration, </w:t>
      </w:r>
      <w:r w:rsidR="00043103">
        <w:rPr>
          <w:rFonts w:eastAsia="Calibri"/>
          <w:position w:val="16"/>
          <w:sz w:val="28"/>
          <w:szCs w:val="28"/>
        </w:rPr>
        <w:t>Exhibit I at Paragraph 4.]</w:t>
      </w:r>
    </w:p>
    <w:p w:rsidR="00B210DC" w:rsidRPr="0018242D" w:rsidRDefault="00B210DC" w:rsidP="00B210DC">
      <w:pPr>
        <w:numPr>
          <w:ilvl w:val="0"/>
          <w:numId w:val="8"/>
        </w:numPr>
        <w:tabs>
          <w:tab w:val="left" w:pos="720"/>
          <w:tab w:val="left" w:pos="1440"/>
          <w:tab w:val="left" w:pos="2160"/>
        </w:tabs>
        <w:spacing w:after="200" w:line="480" w:lineRule="auto"/>
        <w:contextualSpacing/>
        <w:jc w:val="both"/>
        <w:rPr>
          <w:rFonts w:eastAsia="Calibri"/>
          <w:position w:val="16"/>
          <w:sz w:val="28"/>
          <w:szCs w:val="28"/>
        </w:rPr>
      </w:pPr>
      <w:r w:rsidRPr="0018242D">
        <w:rPr>
          <w:rFonts w:eastAsia="Calibri"/>
          <w:position w:val="16"/>
          <w:sz w:val="28"/>
          <w:szCs w:val="28"/>
        </w:rPr>
        <w:t>“…to reduce the likelihood of exposure to COVID-19, thereby slowing the spread of COVID-19 in communities worldwide…”</w:t>
      </w:r>
      <w:r>
        <w:rPr>
          <w:rFonts w:eastAsia="Calibri"/>
          <w:position w:val="16"/>
          <w:sz w:val="28"/>
          <w:szCs w:val="28"/>
        </w:rPr>
        <w:t xml:space="preserve"> </w:t>
      </w:r>
      <w:r w:rsidR="00043103">
        <w:rPr>
          <w:rFonts w:eastAsia="Calibri"/>
          <w:position w:val="16"/>
          <w:sz w:val="28"/>
          <w:szCs w:val="28"/>
        </w:rPr>
        <w:t>[</w:t>
      </w:r>
      <w:r w:rsidR="00043103" w:rsidRPr="00043103">
        <w:rPr>
          <w:rFonts w:eastAsia="Calibri"/>
          <w:i/>
          <w:position w:val="16"/>
          <w:sz w:val="28"/>
          <w:szCs w:val="28"/>
        </w:rPr>
        <w:t xml:space="preserve">See </w:t>
      </w:r>
      <w:r w:rsidR="00043103" w:rsidRPr="00043103">
        <w:rPr>
          <w:rFonts w:eastAsia="Calibri"/>
          <w:position w:val="16"/>
          <w:sz w:val="28"/>
          <w:szCs w:val="28"/>
        </w:rPr>
        <w:t xml:space="preserve">Kaiser Declaration, </w:t>
      </w:r>
      <w:r w:rsidR="00043103">
        <w:rPr>
          <w:rFonts w:eastAsia="Calibri"/>
          <w:position w:val="16"/>
          <w:sz w:val="28"/>
          <w:szCs w:val="28"/>
        </w:rPr>
        <w:t>Exhibit I at Paragraph</w:t>
      </w:r>
      <w:r w:rsidR="00043103">
        <w:rPr>
          <w:rFonts w:eastAsia="Calibri"/>
          <w:position w:val="16"/>
          <w:sz w:val="28"/>
          <w:szCs w:val="28"/>
        </w:rPr>
        <w:t xml:space="preserve"> 6</w:t>
      </w:r>
      <w:r w:rsidR="00043103">
        <w:rPr>
          <w:rFonts w:eastAsia="Calibri"/>
          <w:position w:val="16"/>
          <w:sz w:val="28"/>
          <w:szCs w:val="28"/>
        </w:rPr>
        <w:t>.]</w:t>
      </w:r>
    </w:p>
    <w:p w:rsidR="00B210DC" w:rsidRPr="0018242D" w:rsidRDefault="00B210DC" w:rsidP="00B210DC">
      <w:pPr>
        <w:numPr>
          <w:ilvl w:val="0"/>
          <w:numId w:val="8"/>
        </w:numPr>
        <w:tabs>
          <w:tab w:val="left" w:pos="720"/>
          <w:tab w:val="left" w:pos="1440"/>
          <w:tab w:val="left" w:pos="2160"/>
        </w:tabs>
        <w:spacing w:after="200" w:line="480" w:lineRule="auto"/>
        <w:contextualSpacing/>
        <w:jc w:val="both"/>
        <w:rPr>
          <w:rFonts w:eastAsia="Calibri"/>
          <w:position w:val="16"/>
          <w:sz w:val="28"/>
          <w:szCs w:val="28"/>
        </w:rPr>
      </w:pPr>
      <w:r w:rsidRPr="0018242D">
        <w:rPr>
          <w:rFonts w:eastAsia="Calibri"/>
          <w:position w:val="16"/>
          <w:sz w:val="28"/>
          <w:szCs w:val="28"/>
        </w:rPr>
        <w:lastRenderedPageBreak/>
        <w:t>“…to prevent circumstances often present in gatherings that may exacerbate the spread of COVID-19, such as: 1) the increased likelihood that gatherings will attract people from a broad geographic area; 2) the prolonged time period in which large numbers of people are in close proximity; 3) the difficulty in tracing exposure when large numbers of people attend a single event or are at a single location; and 4) the inability to ensure that such persons follow adequate hygienic practices…”</w:t>
      </w:r>
      <w:r>
        <w:rPr>
          <w:rFonts w:eastAsia="Calibri"/>
          <w:position w:val="16"/>
          <w:sz w:val="28"/>
          <w:szCs w:val="28"/>
        </w:rPr>
        <w:t xml:space="preserve"> </w:t>
      </w:r>
      <w:r w:rsidR="00043103">
        <w:rPr>
          <w:rFonts w:eastAsia="Calibri"/>
          <w:position w:val="16"/>
          <w:sz w:val="28"/>
          <w:szCs w:val="28"/>
        </w:rPr>
        <w:t>[</w:t>
      </w:r>
      <w:r w:rsidR="00043103" w:rsidRPr="00043103">
        <w:rPr>
          <w:rFonts w:eastAsia="Calibri"/>
          <w:i/>
          <w:position w:val="16"/>
          <w:sz w:val="28"/>
          <w:szCs w:val="28"/>
        </w:rPr>
        <w:t xml:space="preserve">See </w:t>
      </w:r>
      <w:r w:rsidR="00043103" w:rsidRPr="00043103">
        <w:rPr>
          <w:rFonts w:eastAsia="Calibri"/>
          <w:position w:val="16"/>
          <w:sz w:val="28"/>
          <w:szCs w:val="28"/>
        </w:rPr>
        <w:t xml:space="preserve">Kaiser Declaration, </w:t>
      </w:r>
      <w:r w:rsidR="00043103">
        <w:rPr>
          <w:rFonts w:eastAsia="Calibri"/>
          <w:position w:val="16"/>
          <w:sz w:val="28"/>
          <w:szCs w:val="28"/>
        </w:rPr>
        <w:t xml:space="preserve">Exhibit I at Paragraph </w:t>
      </w:r>
      <w:r w:rsidR="00043103">
        <w:rPr>
          <w:rFonts w:eastAsia="Calibri"/>
          <w:position w:val="16"/>
          <w:sz w:val="28"/>
          <w:szCs w:val="28"/>
        </w:rPr>
        <w:t>6</w:t>
      </w:r>
      <w:r w:rsidR="00043103">
        <w:rPr>
          <w:rFonts w:eastAsia="Calibri"/>
          <w:position w:val="16"/>
          <w:sz w:val="28"/>
          <w:szCs w:val="28"/>
        </w:rPr>
        <w:t>.]</w:t>
      </w:r>
    </w:p>
    <w:p w:rsidR="00B210DC" w:rsidRPr="0018242D" w:rsidRDefault="00B210DC" w:rsidP="00B210DC">
      <w:pPr>
        <w:numPr>
          <w:ilvl w:val="0"/>
          <w:numId w:val="8"/>
        </w:numPr>
        <w:tabs>
          <w:tab w:val="left" w:pos="720"/>
          <w:tab w:val="left" w:pos="1440"/>
          <w:tab w:val="left" w:pos="2160"/>
        </w:tabs>
        <w:spacing w:after="200" w:line="480" w:lineRule="auto"/>
        <w:contextualSpacing/>
        <w:jc w:val="both"/>
        <w:rPr>
          <w:rFonts w:eastAsia="Calibri"/>
          <w:position w:val="16"/>
          <w:sz w:val="28"/>
          <w:szCs w:val="28"/>
        </w:rPr>
      </w:pPr>
      <w:r w:rsidRPr="0018242D">
        <w:rPr>
          <w:rFonts w:eastAsia="Calibri"/>
          <w:position w:val="16"/>
          <w:sz w:val="28"/>
          <w:szCs w:val="28"/>
        </w:rPr>
        <w:t>“…to address the strain upon the health care system from the effects of the COVID-19 virus.  Similarly, this Order is intended to reduce the likelihood of exposure to COVID-19, thereby slowing the spread of COVID-19 in communities worldwide…”</w:t>
      </w:r>
      <w:r>
        <w:rPr>
          <w:rFonts w:eastAsia="Calibri"/>
          <w:position w:val="16"/>
          <w:sz w:val="28"/>
          <w:szCs w:val="28"/>
        </w:rPr>
        <w:t xml:space="preserve"> </w:t>
      </w:r>
      <w:r w:rsidR="00043103">
        <w:rPr>
          <w:rFonts w:eastAsia="Calibri"/>
          <w:position w:val="16"/>
          <w:sz w:val="28"/>
          <w:szCs w:val="28"/>
        </w:rPr>
        <w:t>[</w:t>
      </w:r>
      <w:r w:rsidR="00043103" w:rsidRPr="00043103">
        <w:rPr>
          <w:rFonts w:eastAsia="Calibri"/>
          <w:i/>
          <w:position w:val="16"/>
          <w:sz w:val="28"/>
          <w:szCs w:val="28"/>
        </w:rPr>
        <w:t xml:space="preserve">See </w:t>
      </w:r>
      <w:r w:rsidR="00043103" w:rsidRPr="00043103">
        <w:rPr>
          <w:rFonts w:eastAsia="Calibri"/>
          <w:position w:val="16"/>
          <w:sz w:val="28"/>
          <w:szCs w:val="28"/>
        </w:rPr>
        <w:t xml:space="preserve">Kaiser Declaration, </w:t>
      </w:r>
      <w:r w:rsidR="00043103">
        <w:rPr>
          <w:rFonts w:eastAsia="Calibri"/>
          <w:position w:val="16"/>
          <w:sz w:val="28"/>
          <w:szCs w:val="28"/>
        </w:rPr>
        <w:t>Exhibit I at Paragraph</w:t>
      </w:r>
      <w:r w:rsidR="00043103">
        <w:rPr>
          <w:rFonts w:eastAsia="Calibri"/>
          <w:position w:val="16"/>
          <w:sz w:val="28"/>
          <w:szCs w:val="28"/>
        </w:rPr>
        <w:t xml:space="preserve"> 7</w:t>
      </w:r>
      <w:r w:rsidR="00043103">
        <w:rPr>
          <w:rFonts w:eastAsia="Calibri"/>
          <w:position w:val="16"/>
          <w:sz w:val="28"/>
          <w:szCs w:val="28"/>
        </w:rPr>
        <w:t>.]</w:t>
      </w:r>
    </w:p>
    <w:p w:rsidR="00B210DC" w:rsidRPr="00B210DC" w:rsidRDefault="00B210DC" w:rsidP="00B210DC">
      <w:pPr>
        <w:tabs>
          <w:tab w:val="left" w:pos="720"/>
          <w:tab w:val="left" w:pos="1440"/>
          <w:tab w:val="left" w:pos="2160"/>
        </w:tabs>
        <w:spacing w:line="480" w:lineRule="auto"/>
        <w:jc w:val="both"/>
        <w:rPr>
          <w:position w:val="16"/>
          <w:sz w:val="28"/>
          <w:szCs w:val="28"/>
        </w:rPr>
      </w:pPr>
      <w:r w:rsidRPr="0018242D">
        <w:rPr>
          <w:position w:val="16"/>
          <w:sz w:val="28"/>
          <w:szCs w:val="28"/>
        </w:rPr>
        <w:tab/>
        <w:t xml:space="preserve">Using their authority to take measures that are “necessary to prevent the transmission of” the Covid-19 virus, </w:t>
      </w:r>
      <w:r w:rsidRPr="0018242D">
        <w:rPr>
          <w:rFonts w:eastAsia="Calibri"/>
          <w:position w:val="16"/>
          <w:sz w:val="28"/>
          <w:szCs w:val="28"/>
        </w:rPr>
        <w:t xml:space="preserve">the Health Officer and the County Executive Officer as the Director of Emergency Services </w:t>
      </w:r>
      <w:r w:rsidRPr="0018242D">
        <w:rPr>
          <w:position w:val="16"/>
          <w:sz w:val="28"/>
          <w:szCs w:val="28"/>
        </w:rPr>
        <w:t xml:space="preserve">issued the Orders Against Public Gatherings “based on evidence of increasing transmission of COVID-19 both within the County of Riverside and worldwide, scientific evidence regarding the most effective approach to slow transmission of communicable diseases generally and COVID-19 specifically, as well as best practices as currently known and available to protect the public from the risk of spread of or exposure to </w:t>
      </w:r>
      <w:r w:rsidRPr="0018242D">
        <w:rPr>
          <w:position w:val="16"/>
          <w:sz w:val="28"/>
          <w:szCs w:val="28"/>
        </w:rPr>
        <w:lastRenderedPageBreak/>
        <w:t xml:space="preserve">COVID-19”.  </w:t>
      </w:r>
      <w:r w:rsidR="00043103">
        <w:rPr>
          <w:rFonts w:eastAsia="Calibri"/>
          <w:position w:val="16"/>
          <w:sz w:val="28"/>
          <w:szCs w:val="28"/>
        </w:rPr>
        <w:t>[</w:t>
      </w:r>
      <w:r w:rsidR="00043103" w:rsidRPr="00043103">
        <w:rPr>
          <w:rFonts w:eastAsia="Calibri"/>
          <w:i/>
          <w:position w:val="16"/>
          <w:sz w:val="28"/>
          <w:szCs w:val="28"/>
        </w:rPr>
        <w:t xml:space="preserve">See </w:t>
      </w:r>
      <w:r w:rsidR="00043103" w:rsidRPr="00043103">
        <w:rPr>
          <w:rFonts w:eastAsia="Calibri"/>
          <w:position w:val="16"/>
          <w:sz w:val="28"/>
          <w:szCs w:val="28"/>
        </w:rPr>
        <w:t xml:space="preserve">Kaiser Declaration, </w:t>
      </w:r>
      <w:r w:rsidR="00043103">
        <w:rPr>
          <w:rFonts w:eastAsia="Calibri"/>
          <w:position w:val="16"/>
          <w:sz w:val="28"/>
          <w:szCs w:val="28"/>
        </w:rPr>
        <w:t>Exhibit I at Paragraph</w:t>
      </w:r>
      <w:r w:rsidR="00043103">
        <w:rPr>
          <w:rFonts w:eastAsia="Calibri"/>
          <w:position w:val="16"/>
          <w:sz w:val="28"/>
          <w:szCs w:val="28"/>
        </w:rPr>
        <w:t xml:space="preserve"> 5</w:t>
      </w:r>
      <w:r w:rsidR="00043103">
        <w:rPr>
          <w:rFonts w:eastAsia="Calibri"/>
          <w:position w:val="16"/>
          <w:sz w:val="28"/>
          <w:szCs w:val="28"/>
        </w:rPr>
        <w:t>.]</w:t>
      </w:r>
      <w:r w:rsidRPr="0018242D">
        <w:rPr>
          <w:position w:val="16"/>
          <w:sz w:val="28"/>
          <w:szCs w:val="28"/>
        </w:rPr>
        <w:t xml:space="preserve"> These measures also took into account and incorporated (1) substantial guidance issued by the</w:t>
      </w:r>
      <w:r w:rsidRPr="0018242D">
        <w:rPr>
          <w:sz w:val="28"/>
          <w:szCs w:val="28"/>
        </w:rPr>
        <w:t xml:space="preserve"> </w:t>
      </w:r>
      <w:r w:rsidRPr="0018242D">
        <w:rPr>
          <w:position w:val="16"/>
          <w:sz w:val="28"/>
          <w:szCs w:val="28"/>
        </w:rPr>
        <w:t xml:space="preserve">Centers for Disease Control and Prevention and the California Department of Public Health; (2) Executive Orders issued by Governor Newsom, including Orders of the State Public Health Officer, as related to the prevention of the spread of COVID-19; and (3) prior Orders of the local health officer. </w:t>
      </w:r>
      <w:r w:rsidR="00043103">
        <w:rPr>
          <w:rFonts w:eastAsia="Calibri"/>
          <w:position w:val="16"/>
          <w:sz w:val="28"/>
          <w:szCs w:val="28"/>
        </w:rPr>
        <w:t>[</w:t>
      </w:r>
      <w:r w:rsidR="00043103" w:rsidRPr="00043103">
        <w:rPr>
          <w:rFonts w:eastAsia="Calibri"/>
          <w:i/>
          <w:position w:val="16"/>
          <w:sz w:val="28"/>
          <w:szCs w:val="28"/>
        </w:rPr>
        <w:t xml:space="preserve">See </w:t>
      </w:r>
      <w:r w:rsidR="00043103" w:rsidRPr="00043103">
        <w:rPr>
          <w:rFonts w:eastAsia="Calibri"/>
          <w:position w:val="16"/>
          <w:sz w:val="28"/>
          <w:szCs w:val="28"/>
        </w:rPr>
        <w:t xml:space="preserve">Kaiser Declaration, </w:t>
      </w:r>
      <w:r w:rsidR="00043103">
        <w:rPr>
          <w:rFonts w:eastAsia="Calibri"/>
          <w:position w:val="16"/>
          <w:sz w:val="28"/>
          <w:szCs w:val="28"/>
        </w:rPr>
        <w:t>Exhibit I at Paragraph</w:t>
      </w:r>
      <w:r w:rsidR="00043103">
        <w:rPr>
          <w:rFonts w:eastAsia="Calibri"/>
          <w:position w:val="16"/>
          <w:sz w:val="28"/>
          <w:szCs w:val="28"/>
        </w:rPr>
        <w:t xml:space="preserve"> 8</w:t>
      </w:r>
      <w:r w:rsidR="00043103">
        <w:rPr>
          <w:rFonts w:eastAsia="Calibri"/>
          <w:position w:val="16"/>
          <w:sz w:val="28"/>
          <w:szCs w:val="28"/>
        </w:rPr>
        <w:t>.]</w:t>
      </w:r>
    </w:p>
    <w:p w:rsidR="0018242D" w:rsidRPr="0018242D" w:rsidRDefault="0018242D" w:rsidP="00D56445">
      <w:pPr>
        <w:spacing w:line="480" w:lineRule="auto"/>
        <w:jc w:val="both"/>
        <w:rPr>
          <w:rFonts w:eastAsia="Calibri"/>
          <w:sz w:val="28"/>
          <w:szCs w:val="28"/>
        </w:rPr>
      </w:pPr>
      <w:r w:rsidRPr="0018242D">
        <w:rPr>
          <w:rFonts w:eastAsia="Calibri"/>
          <w:sz w:val="28"/>
          <w:szCs w:val="28"/>
        </w:rPr>
        <w:tab/>
        <w:t>In short, Article I, Section 1 of the California Con</w:t>
      </w:r>
      <w:r w:rsidR="00D56445">
        <w:rPr>
          <w:rFonts w:eastAsia="Calibri"/>
          <w:sz w:val="28"/>
          <w:szCs w:val="28"/>
        </w:rPr>
        <w:t xml:space="preserve">stitution has not been violated </w:t>
      </w:r>
      <w:r w:rsidRPr="0018242D">
        <w:rPr>
          <w:rFonts w:eastAsia="Calibri"/>
          <w:sz w:val="28"/>
          <w:szCs w:val="28"/>
        </w:rPr>
        <w:t>because the County’s Ord</w:t>
      </w:r>
      <w:r w:rsidR="00B210DC">
        <w:rPr>
          <w:rFonts w:eastAsia="Calibri"/>
          <w:sz w:val="28"/>
          <w:szCs w:val="28"/>
        </w:rPr>
        <w:t xml:space="preserve">ers </w:t>
      </w:r>
      <w:proofErr w:type="gramStart"/>
      <w:r w:rsidR="00B210DC">
        <w:rPr>
          <w:rFonts w:eastAsia="Calibri"/>
          <w:sz w:val="28"/>
          <w:szCs w:val="28"/>
        </w:rPr>
        <w:t>Against</w:t>
      </w:r>
      <w:proofErr w:type="gramEnd"/>
      <w:r w:rsidR="00B210DC">
        <w:rPr>
          <w:rFonts w:eastAsia="Calibri"/>
          <w:sz w:val="28"/>
          <w:szCs w:val="28"/>
        </w:rPr>
        <w:t xml:space="preserve"> Public Gatherings are</w:t>
      </w:r>
      <w:r w:rsidRPr="0018242D">
        <w:rPr>
          <w:rFonts w:eastAsia="Calibri"/>
          <w:sz w:val="28"/>
          <w:szCs w:val="28"/>
        </w:rPr>
        <w:t xml:space="preserve"> valid. </w:t>
      </w:r>
    </w:p>
    <w:p w:rsidR="0018242D" w:rsidRPr="00D56445" w:rsidRDefault="0018242D" w:rsidP="00D56445">
      <w:pPr>
        <w:pStyle w:val="ListParagraph"/>
        <w:numPr>
          <w:ilvl w:val="0"/>
          <w:numId w:val="10"/>
        </w:numPr>
        <w:spacing w:line="480" w:lineRule="auto"/>
        <w:rPr>
          <w:rFonts w:eastAsia="Calibri"/>
          <w:b/>
          <w:bCs/>
          <w:sz w:val="28"/>
          <w:szCs w:val="28"/>
          <w:u w:val="single"/>
        </w:rPr>
      </w:pPr>
      <w:r w:rsidRPr="00D56445">
        <w:rPr>
          <w:rFonts w:eastAsia="Calibri"/>
          <w:b/>
          <w:bCs/>
          <w:sz w:val="28"/>
          <w:szCs w:val="28"/>
          <w:u w:val="single"/>
        </w:rPr>
        <w:t>Plaintiffs Are Not A Member of a Protected Class</w:t>
      </w:r>
      <w:r w:rsidR="00D56445">
        <w:rPr>
          <w:rFonts w:eastAsia="Calibri"/>
          <w:b/>
          <w:bCs/>
          <w:sz w:val="28"/>
          <w:szCs w:val="28"/>
          <w:u w:val="single"/>
        </w:rPr>
        <w:t>.</w:t>
      </w:r>
    </w:p>
    <w:p w:rsidR="0018242D" w:rsidRPr="0018242D" w:rsidRDefault="0018242D" w:rsidP="00D56445">
      <w:pPr>
        <w:spacing w:line="480" w:lineRule="auto"/>
        <w:ind w:firstLine="720"/>
        <w:jc w:val="both"/>
        <w:rPr>
          <w:rFonts w:eastAsia="Calibri"/>
          <w:sz w:val="28"/>
          <w:szCs w:val="28"/>
        </w:rPr>
      </w:pPr>
      <w:r w:rsidRPr="0018242D">
        <w:rPr>
          <w:rFonts w:eastAsia="Calibri"/>
          <w:sz w:val="28"/>
          <w:szCs w:val="28"/>
        </w:rPr>
        <w:t xml:space="preserve">Plaintiffs argue that they have been intentionally and arbitrarily categorized as either “essential” or “non-essential”. As such, they have been treated differently in violation of the Equal Protection Clause of the Fourteenth Amendment. [Doc. 8, p. 20, lines 19-21.] To state a claim under 42 U.S.C. § 1983 for a violation of the Equal Protection Clause of the Fourteenth Amendment, a plaintiff must show that the defendants acted with an intent or purpose to discriminate against the plaintiff based upon membership in a protected class.” </w:t>
      </w:r>
      <w:r w:rsidRPr="0018242D">
        <w:rPr>
          <w:rFonts w:eastAsia="Calibri"/>
          <w:i/>
          <w:iCs/>
          <w:sz w:val="28"/>
          <w:szCs w:val="28"/>
        </w:rPr>
        <w:t>[Barren v. Harrington</w:t>
      </w:r>
      <w:r w:rsidRPr="0018242D">
        <w:rPr>
          <w:rFonts w:eastAsia="Calibri"/>
          <w:sz w:val="28"/>
          <w:szCs w:val="28"/>
        </w:rPr>
        <w:t xml:space="preserve">, 152 F.3d 1193, 1194 (9th Cir. 1998).] </w:t>
      </w:r>
    </w:p>
    <w:p w:rsidR="0018242D" w:rsidRPr="0018242D" w:rsidRDefault="00D56445" w:rsidP="00D56445">
      <w:pPr>
        <w:spacing w:line="480" w:lineRule="auto"/>
        <w:jc w:val="both"/>
        <w:rPr>
          <w:rFonts w:eastAsia="Calibri"/>
          <w:sz w:val="28"/>
          <w:szCs w:val="28"/>
        </w:rPr>
      </w:pPr>
      <w:r>
        <w:rPr>
          <w:rFonts w:eastAsia="Calibri"/>
          <w:sz w:val="28"/>
          <w:szCs w:val="28"/>
        </w:rPr>
        <w:tab/>
      </w:r>
      <w:r w:rsidR="0018242D" w:rsidRPr="0018242D">
        <w:rPr>
          <w:rFonts w:eastAsia="Calibri"/>
          <w:sz w:val="28"/>
          <w:szCs w:val="28"/>
        </w:rPr>
        <w:t>Plaintiffs will not prevail on this cause of ac</w:t>
      </w:r>
      <w:r>
        <w:rPr>
          <w:rFonts w:eastAsia="Calibri"/>
          <w:sz w:val="28"/>
          <w:szCs w:val="28"/>
        </w:rPr>
        <w:t>tion as “essential” versus “non-</w:t>
      </w:r>
      <w:r w:rsidR="0018242D" w:rsidRPr="0018242D">
        <w:rPr>
          <w:rFonts w:eastAsia="Calibri"/>
          <w:sz w:val="28"/>
          <w:szCs w:val="28"/>
        </w:rPr>
        <w:t xml:space="preserve">essential” membership is not a protected class. More importantly, Plaintiffs will not be able to show membership in a protected class as the Orders </w:t>
      </w:r>
      <w:proofErr w:type="gramStart"/>
      <w:r w:rsidR="0018242D" w:rsidRPr="0018242D">
        <w:rPr>
          <w:rFonts w:eastAsia="Calibri"/>
          <w:sz w:val="28"/>
          <w:szCs w:val="28"/>
        </w:rPr>
        <w:t>Against</w:t>
      </w:r>
      <w:proofErr w:type="gramEnd"/>
      <w:r w:rsidR="0018242D" w:rsidRPr="0018242D">
        <w:rPr>
          <w:rFonts w:eastAsia="Calibri"/>
          <w:sz w:val="28"/>
          <w:szCs w:val="28"/>
        </w:rPr>
        <w:t xml:space="preserve"> Public Gatherings do not apply different to members of a protected class such as race or gender. As Plaintiffs are not </w:t>
      </w:r>
      <w:r w:rsidR="0018242D" w:rsidRPr="0018242D">
        <w:rPr>
          <w:rFonts w:eastAsia="Calibri"/>
          <w:sz w:val="28"/>
          <w:szCs w:val="28"/>
        </w:rPr>
        <w:lastRenderedPageBreak/>
        <w:t>members of a protected class, a governmental policy that treats individually differently needs only to be “rationally related to legitimate legislative goals” to pass constitutional muster. [</w:t>
      </w:r>
      <w:r w:rsidR="0018242D" w:rsidRPr="0018242D">
        <w:rPr>
          <w:rFonts w:eastAsia="Calibri"/>
          <w:i/>
          <w:iCs/>
          <w:sz w:val="28"/>
          <w:szCs w:val="28"/>
        </w:rPr>
        <w:t>Does 1–5 v. Chandler,</w:t>
      </w:r>
      <w:r w:rsidR="0018242D" w:rsidRPr="0018242D">
        <w:rPr>
          <w:rFonts w:eastAsia="Calibri"/>
          <w:sz w:val="28"/>
          <w:szCs w:val="28"/>
        </w:rPr>
        <w:t> 83 F.3d 1150, 1155 (9th Cir.1996) (citing </w:t>
      </w:r>
      <w:r w:rsidR="0018242D" w:rsidRPr="0018242D">
        <w:rPr>
          <w:rFonts w:eastAsia="Calibri"/>
          <w:i/>
          <w:iCs/>
          <w:sz w:val="28"/>
          <w:szCs w:val="28"/>
        </w:rPr>
        <w:t>City of Cleburne,</w:t>
      </w:r>
      <w:r w:rsidR="0018242D" w:rsidRPr="0018242D">
        <w:rPr>
          <w:rFonts w:eastAsia="Calibri"/>
          <w:sz w:val="28"/>
          <w:szCs w:val="28"/>
        </w:rPr>
        <w:t xml:space="preserve"> 473 U.S. 432, 440 (1985).] As explained above, the Orders </w:t>
      </w:r>
      <w:proofErr w:type="gramStart"/>
      <w:r w:rsidR="0018242D" w:rsidRPr="0018242D">
        <w:rPr>
          <w:rFonts w:eastAsia="Calibri"/>
          <w:sz w:val="28"/>
          <w:szCs w:val="28"/>
        </w:rPr>
        <w:t>Against</w:t>
      </w:r>
      <w:proofErr w:type="gramEnd"/>
      <w:r w:rsidR="0018242D" w:rsidRPr="0018242D">
        <w:rPr>
          <w:rFonts w:eastAsia="Calibri"/>
          <w:sz w:val="28"/>
          <w:szCs w:val="28"/>
        </w:rPr>
        <w:t xml:space="preserve"> Public Gatherings serve a legitimate public interest to protect against the spread of an infectious disease and to protect our healthcare infrastructure. </w:t>
      </w:r>
    </w:p>
    <w:p w:rsidR="0018242D" w:rsidRPr="007E342C" w:rsidRDefault="0018242D" w:rsidP="0018242D">
      <w:pPr>
        <w:pStyle w:val="ListParagraph"/>
        <w:numPr>
          <w:ilvl w:val="0"/>
          <w:numId w:val="9"/>
        </w:numPr>
        <w:spacing w:line="480" w:lineRule="auto"/>
        <w:rPr>
          <w:rFonts w:eastAsia="Calibri"/>
          <w:b/>
          <w:bCs/>
          <w:sz w:val="28"/>
          <w:szCs w:val="28"/>
          <w:u w:val="single"/>
        </w:rPr>
      </w:pPr>
      <w:r w:rsidRPr="007E342C">
        <w:rPr>
          <w:rFonts w:eastAsia="Calibri"/>
          <w:b/>
          <w:bCs/>
          <w:sz w:val="28"/>
          <w:szCs w:val="28"/>
          <w:u w:val="single"/>
        </w:rPr>
        <w:t>Plaintiffs Do Not Face Irreparable Injury</w:t>
      </w:r>
      <w:r w:rsidR="00B210DC">
        <w:rPr>
          <w:rFonts w:eastAsia="Calibri"/>
          <w:b/>
          <w:bCs/>
          <w:sz w:val="28"/>
          <w:szCs w:val="28"/>
          <w:u w:val="single"/>
        </w:rPr>
        <w:t>.</w:t>
      </w:r>
    </w:p>
    <w:p w:rsidR="0018242D" w:rsidRDefault="0018242D" w:rsidP="00B210DC">
      <w:pPr>
        <w:spacing w:line="480" w:lineRule="auto"/>
        <w:ind w:firstLine="720"/>
        <w:jc w:val="both"/>
        <w:rPr>
          <w:rFonts w:eastAsia="Calibri"/>
          <w:sz w:val="28"/>
          <w:szCs w:val="28"/>
        </w:rPr>
      </w:pPr>
      <w:r w:rsidRPr="0018242D">
        <w:rPr>
          <w:rFonts w:eastAsia="Calibri"/>
          <w:sz w:val="28"/>
          <w:szCs w:val="28"/>
        </w:rPr>
        <w:t>Plaintiffs must demonstrate an “immediate threatened harm” under the irreparable injury standard. [</w:t>
      </w:r>
      <w:r w:rsidRPr="0018242D">
        <w:rPr>
          <w:rFonts w:eastAsia="Calibri"/>
          <w:i/>
          <w:iCs/>
          <w:sz w:val="28"/>
          <w:szCs w:val="28"/>
        </w:rPr>
        <w:t>Caribbean Marine Services, Inc.</w:t>
      </w:r>
      <w:r w:rsidRPr="0018242D">
        <w:rPr>
          <w:rFonts w:eastAsia="Calibri"/>
          <w:sz w:val="28"/>
          <w:szCs w:val="28"/>
        </w:rPr>
        <w:t xml:space="preserve"> </w:t>
      </w:r>
      <w:r w:rsidRPr="0018242D">
        <w:rPr>
          <w:rFonts w:eastAsia="Calibri"/>
          <w:i/>
          <w:iCs/>
          <w:sz w:val="28"/>
          <w:szCs w:val="28"/>
        </w:rPr>
        <w:t>v. Baldrige</w:t>
      </w:r>
      <w:r w:rsidRPr="0018242D">
        <w:rPr>
          <w:rFonts w:eastAsia="Calibri"/>
          <w:sz w:val="28"/>
          <w:szCs w:val="28"/>
        </w:rPr>
        <w:t xml:space="preserve">, 844 F.2d 668, 674 (9th Cir. 1988).]  Plaintiffs have not shown there is an immediate threatened harm to their exercise of religion as they are still able to hold services through other means. As noted above, Plaintiffs may use teleconference, video conference, streaming services and other technological methods such as FaceTime or Google Hangout to hold services. They could livestream through Facebook or YouTube. In other words, Plaintiffs are still able to hold faith-based services and meet with their parishioners in other meaningful ways.  </w:t>
      </w:r>
    </w:p>
    <w:p w:rsidR="0018242D" w:rsidRPr="00B210DC" w:rsidRDefault="0018242D" w:rsidP="0018242D">
      <w:pPr>
        <w:pStyle w:val="ListParagraph"/>
        <w:numPr>
          <w:ilvl w:val="0"/>
          <w:numId w:val="9"/>
        </w:numPr>
        <w:spacing w:line="480" w:lineRule="auto"/>
        <w:rPr>
          <w:rFonts w:eastAsia="Calibri"/>
          <w:b/>
          <w:bCs/>
          <w:sz w:val="28"/>
          <w:szCs w:val="28"/>
          <w:u w:val="single"/>
        </w:rPr>
      </w:pPr>
      <w:r w:rsidRPr="00B210DC">
        <w:rPr>
          <w:rFonts w:eastAsia="Calibri"/>
          <w:b/>
          <w:bCs/>
          <w:sz w:val="28"/>
          <w:szCs w:val="28"/>
          <w:u w:val="single"/>
        </w:rPr>
        <w:t xml:space="preserve">The Balance of Equities and Public Interest Support Denial of </w:t>
      </w:r>
      <w:proofErr w:type="gramStart"/>
      <w:r w:rsidRPr="00B210DC">
        <w:rPr>
          <w:rFonts w:eastAsia="Calibri"/>
          <w:b/>
          <w:bCs/>
          <w:sz w:val="28"/>
          <w:szCs w:val="28"/>
          <w:u w:val="single"/>
        </w:rPr>
        <w:t>The</w:t>
      </w:r>
      <w:proofErr w:type="gramEnd"/>
      <w:r w:rsidRPr="00B210DC">
        <w:rPr>
          <w:rFonts w:eastAsia="Calibri"/>
          <w:b/>
          <w:bCs/>
          <w:sz w:val="28"/>
          <w:szCs w:val="28"/>
          <w:u w:val="single"/>
        </w:rPr>
        <w:t xml:space="preserve"> TRO</w:t>
      </w:r>
      <w:r w:rsidR="00B210DC">
        <w:rPr>
          <w:rFonts w:eastAsia="Calibri"/>
          <w:b/>
          <w:bCs/>
          <w:sz w:val="28"/>
          <w:szCs w:val="28"/>
          <w:u w:val="single"/>
        </w:rPr>
        <w:t>.</w:t>
      </w:r>
    </w:p>
    <w:p w:rsidR="00B210DC" w:rsidRDefault="0018242D" w:rsidP="00B210DC">
      <w:pPr>
        <w:spacing w:line="480" w:lineRule="auto"/>
        <w:ind w:firstLine="720"/>
        <w:jc w:val="both"/>
        <w:rPr>
          <w:sz w:val="28"/>
          <w:szCs w:val="28"/>
        </w:rPr>
      </w:pPr>
      <w:r w:rsidRPr="0018242D">
        <w:rPr>
          <w:sz w:val="28"/>
          <w:szCs w:val="28"/>
        </w:rPr>
        <w:t xml:space="preserve">With respect to the final two TRO factors, the balance of the equities and the public interest heavily support denial of the TRO. The </w:t>
      </w:r>
      <w:r w:rsidRPr="0018242D">
        <w:rPr>
          <w:i/>
          <w:iCs/>
          <w:sz w:val="28"/>
          <w:szCs w:val="28"/>
        </w:rPr>
        <w:t xml:space="preserve">world </w:t>
      </w:r>
      <w:r w:rsidRPr="0018242D">
        <w:rPr>
          <w:sz w:val="28"/>
          <w:szCs w:val="28"/>
        </w:rPr>
        <w:t xml:space="preserve">is experiencing a pandemic unprecedented in our lifetime. Most states in this nation, including of course California, are under mandatory stay-at-home orders, in an effort to flatten the curve and avoid the needless death and suffering caused by an exponential growth in infections and hospitalizations </w:t>
      </w:r>
      <w:r w:rsidRPr="0018242D">
        <w:rPr>
          <w:sz w:val="28"/>
          <w:szCs w:val="28"/>
        </w:rPr>
        <w:lastRenderedPageBreak/>
        <w:t>(including the lack of ventilators). For California in general, and the Count</w:t>
      </w:r>
      <w:r w:rsidRPr="00043103">
        <w:rPr>
          <w:sz w:val="28"/>
          <w:szCs w:val="28"/>
        </w:rPr>
        <w:t xml:space="preserve">y in particular, the next few weeks are </w:t>
      </w:r>
      <w:r w:rsidRPr="00043103">
        <w:rPr>
          <w:i/>
          <w:iCs/>
          <w:sz w:val="28"/>
          <w:szCs w:val="28"/>
        </w:rPr>
        <w:t xml:space="preserve">critical </w:t>
      </w:r>
      <w:r w:rsidRPr="00043103">
        <w:rPr>
          <w:sz w:val="28"/>
          <w:szCs w:val="28"/>
        </w:rPr>
        <w:t>for flattening the curve, requiring all County residents to share in the sacrifice by staying at home in an effort to stem the spread of the virus. [</w:t>
      </w:r>
      <w:r w:rsidR="00B210DC" w:rsidRPr="00043103">
        <w:rPr>
          <w:i/>
          <w:sz w:val="28"/>
          <w:szCs w:val="28"/>
        </w:rPr>
        <w:t xml:space="preserve">See </w:t>
      </w:r>
      <w:r w:rsidR="00043103" w:rsidRPr="00043103">
        <w:rPr>
          <w:sz w:val="28"/>
          <w:szCs w:val="28"/>
        </w:rPr>
        <w:t>Kaiser Declaration, Paragraph 12, Page 6, Lines 12-21.]</w:t>
      </w:r>
      <w:r w:rsidRPr="0018242D">
        <w:rPr>
          <w:sz w:val="28"/>
          <w:szCs w:val="28"/>
        </w:rPr>
        <w:t xml:space="preserve"> </w:t>
      </w:r>
    </w:p>
    <w:p w:rsidR="0063527F" w:rsidRDefault="0018242D" w:rsidP="0063527F">
      <w:pPr>
        <w:spacing w:line="480" w:lineRule="auto"/>
        <w:ind w:firstLine="720"/>
        <w:jc w:val="both"/>
        <w:rPr>
          <w:sz w:val="28"/>
          <w:szCs w:val="28"/>
        </w:rPr>
      </w:pPr>
      <w:r w:rsidRPr="0018242D">
        <w:rPr>
          <w:sz w:val="28"/>
          <w:szCs w:val="28"/>
        </w:rPr>
        <w:t>In a County of</w:t>
      </w:r>
      <w:r w:rsidR="00B210DC">
        <w:rPr>
          <w:sz w:val="28"/>
          <w:szCs w:val="28"/>
        </w:rPr>
        <w:t xml:space="preserve"> over 2.4 </w:t>
      </w:r>
      <w:r w:rsidRPr="0018242D">
        <w:rPr>
          <w:sz w:val="28"/>
          <w:szCs w:val="28"/>
        </w:rPr>
        <w:t xml:space="preserve">million people, there simply are not enough law enforcement personnel and resources to enforce the public health order if there is an increase in people violating the order (either willfully or because they see another group receiving an exemption from the order and thus assume that they are now allowed to leave home as well). Likewise, the County does not have the resources to monitor multiple churches and other gatherings to enforce social-distancing and other requirements, if multiple groups seek and are granted an exemption from the generally-applicable stay-at-home order. </w:t>
      </w:r>
    </w:p>
    <w:p w:rsidR="00B92BE2" w:rsidRDefault="0018242D" w:rsidP="0063527F">
      <w:pPr>
        <w:spacing w:line="480" w:lineRule="auto"/>
        <w:ind w:firstLine="720"/>
        <w:jc w:val="both"/>
        <w:rPr>
          <w:sz w:val="28"/>
          <w:szCs w:val="28"/>
        </w:rPr>
      </w:pPr>
      <w:r w:rsidRPr="0018242D">
        <w:rPr>
          <w:sz w:val="28"/>
          <w:szCs w:val="28"/>
        </w:rPr>
        <w:t xml:space="preserve">Further, the County should not be in the position of granting one religious group an exemption while denying it to others. Exempting one such group from the temporary stay-at-home order may lead to multiple other groups demanding similar exemptions, which would seriously undermine the effectiveness of the stay-at-home order’s ability to flatten the curve. </w:t>
      </w:r>
    </w:p>
    <w:p w:rsidR="00D8256B" w:rsidRPr="0018242D" w:rsidRDefault="00D8256B" w:rsidP="0018242D">
      <w:pPr>
        <w:spacing w:line="480" w:lineRule="auto"/>
        <w:jc w:val="center"/>
        <w:rPr>
          <w:rFonts w:eastAsia="Calibri"/>
          <w:b/>
          <w:sz w:val="28"/>
          <w:szCs w:val="28"/>
        </w:rPr>
      </w:pPr>
      <w:r w:rsidRPr="0018242D">
        <w:rPr>
          <w:rFonts w:eastAsia="Calibri"/>
          <w:b/>
          <w:sz w:val="28"/>
          <w:szCs w:val="28"/>
        </w:rPr>
        <w:t>III.</w:t>
      </w:r>
    </w:p>
    <w:p w:rsidR="00D8256B" w:rsidRPr="0018242D" w:rsidRDefault="00D8256B" w:rsidP="0018242D">
      <w:pPr>
        <w:spacing w:line="480" w:lineRule="auto"/>
        <w:jc w:val="center"/>
        <w:rPr>
          <w:rFonts w:eastAsia="Calibri"/>
          <w:b/>
          <w:sz w:val="28"/>
          <w:szCs w:val="28"/>
        </w:rPr>
      </w:pPr>
      <w:r w:rsidRPr="0018242D">
        <w:rPr>
          <w:rFonts w:eastAsia="Calibri"/>
          <w:b/>
          <w:sz w:val="28"/>
          <w:szCs w:val="28"/>
        </w:rPr>
        <w:t>CONCLUSION</w:t>
      </w:r>
    </w:p>
    <w:p w:rsidR="00DD0D9A" w:rsidRDefault="005F5A89" w:rsidP="00DD0D9A">
      <w:pPr>
        <w:spacing w:line="480" w:lineRule="auto"/>
        <w:jc w:val="both"/>
        <w:rPr>
          <w:position w:val="16"/>
          <w:sz w:val="28"/>
          <w:szCs w:val="28"/>
        </w:rPr>
      </w:pPr>
      <w:r w:rsidRPr="0018242D">
        <w:rPr>
          <w:position w:val="18"/>
          <w:sz w:val="28"/>
          <w:szCs w:val="28"/>
        </w:rPr>
        <w:tab/>
      </w:r>
      <w:r w:rsidR="0063527F">
        <w:rPr>
          <w:rFonts w:eastAsia="Calibri"/>
          <w:position w:val="16"/>
          <w:sz w:val="28"/>
          <w:szCs w:val="28"/>
        </w:rPr>
        <w:t>The County’s Orders Against Public Gatherings</w:t>
      </w:r>
      <w:r w:rsidR="00B210DC" w:rsidRPr="0018242D">
        <w:rPr>
          <w:rFonts w:eastAsia="Calibri"/>
          <w:position w:val="16"/>
          <w:sz w:val="28"/>
          <w:szCs w:val="28"/>
        </w:rPr>
        <w:t xml:space="preserve"> were put into place (1) </w:t>
      </w:r>
      <w:r w:rsidR="00B210DC" w:rsidRPr="0018242D">
        <w:rPr>
          <w:position w:val="16"/>
          <w:sz w:val="28"/>
          <w:szCs w:val="28"/>
        </w:rPr>
        <w:t xml:space="preserve">as a result of </w:t>
      </w:r>
      <w:r w:rsidR="0063527F">
        <w:rPr>
          <w:position w:val="16"/>
          <w:sz w:val="28"/>
          <w:szCs w:val="28"/>
        </w:rPr>
        <w:t>what has now grown to over two</w:t>
      </w:r>
      <w:r w:rsidR="00B210DC" w:rsidRPr="0018242D">
        <w:rPr>
          <w:position w:val="16"/>
          <w:sz w:val="28"/>
          <w:szCs w:val="28"/>
        </w:rPr>
        <w:t xml:space="preserve"> million cases of COVID-19 worldwide and over </w:t>
      </w:r>
      <w:r w:rsidR="0063527F">
        <w:rPr>
          <w:position w:val="16"/>
          <w:sz w:val="28"/>
          <w:szCs w:val="28"/>
        </w:rPr>
        <w:t xml:space="preserve">2,000 </w:t>
      </w:r>
      <w:r w:rsidR="0063527F">
        <w:rPr>
          <w:position w:val="16"/>
          <w:sz w:val="28"/>
          <w:szCs w:val="28"/>
        </w:rPr>
        <w:lastRenderedPageBreak/>
        <w:t>cases and 59</w:t>
      </w:r>
      <w:r w:rsidR="00B210DC" w:rsidRPr="0018242D">
        <w:rPr>
          <w:position w:val="16"/>
          <w:sz w:val="28"/>
          <w:szCs w:val="28"/>
        </w:rPr>
        <w:t xml:space="preserve"> deaths in Riverside County; (2) to reduce the likelihood of exposure to COVID-19, thereby slowing the spread of COVID-19</w:t>
      </w:r>
      <w:r w:rsidR="0063527F">
        <w:rPr>
          <w:position w:val="16"/>
          <w:sz w:val="28"/>
          <w:szCs w:val="28"/>
        </w:rPr>
        <w:t xml:space="preserve"> in communities worldwide; (3) </w:t>
      </w:r>
      <w:r w:rsidR="00B210DC" w:rsidRPr="0018242D">
        <w:rPr>
          <w:position w:val="16"/>
          <w:sz w:val="28"/>
          <w:szCs w:val="28"/>
        </w:rPr>
        <w:t xml:space="preserve">to prevent circumstances often present in gatherings that may exacerbate the spread of COVID-19; and (4) to address the strain upon the health care system from the </w:t>
      </w:r>
      <w:r w:rsidR="00DD0D9A">
        <w:rPr>
          <w:position w:val="16"/>
          <w:sz w:val="28"/>
          <w:szCs w:val="28"/>
        </w:rPr>
        <w:t xml:space="preserve">effects of the COVID-19 virus. </w:t>
      </w:r>
    </w:p>
    <w:p w:rsidR="002F60FA" w:rsidRPr="00DD0D9A" w:rsidRDefault="00020672" w:rsidP="00DD0D9A">
      <w:pPr>
        <w:spacing w:line="480" w:lineRule="auto"/>
        <w:jc w:val="both"/>
        <w:rPr>
          <w:rFonts w:eastAsia="Calibri"/>
          <w:b/>
          <w:sz w:val="28"/>
          <w:szCs w:val="28"/>
        </w:rPr>
      </w:pPr>
      <w:r>
        <w:rPr>
          <w:position w:val="16"/>
          <w:sz w:val="28"/>
          <w:szCs w:val="28"/>
        </w:rPr>
        <w:t>The application of these Orders is neutral and generally applicable to all residents and visitors of the County</w:t>
      </w:r>
      <w:r w:rsidR="00D724A4">
        <w:rPr>
          <w:position w:val="16"/>
          <w:sz w:val="28"/>
          <w:szCs w:val="28"/>
        </w:rPr>
        <w:t xml:space="preserve">, and affects a </w:t>
      </w:r>
      <w:r w:rsidR="00D724A4" w:rsidRPr="00D724A4">
        <w:rPr>
          <w:position w:val="16"/>
          <w:sz w:val="28"/>
          <w:szCs w:val="28"/>
        </w:rPr>
        <w:t xml:space="preserve">wide-range of businesses, events, and </w:t>
      </w:r>
      <w:r w:rsidR="00D724A4">
        <w:rPr>
          <w:position w:val="16"/>
          <w:sz w:val="28"/>
          <w:szCs w:val="28"/>
        </w:rPr>
        <w:t>arenas</w:t>
      </w:r>
      <w:r w:rsidR="00D724A4" w:rsidRPr="00D724A4">
        <w:rPr>
          <w:position w:val="16"/>
          <w:sz w:val="28"/>
          <w:szCs w:val="28"/>
        </w:rPr>
        <w:t>, without respect to the secular or religious nature of any such establishment or gathering</w:t>
      </w:r>
      <w:r>
        <w:rPr>
          <w:position w:val="16"/>
          <w:sz w:val="28"/>
          <w:szCs w:val="28"/>
        </w:rPr>
        <w:t xml:space="preserve">.  </w:t>
      </w:r>
      <w:r w:rsidR="00D724A4">
        <w:rPr>
          <w:rFonts w:eastAsia="Calibri"/>
          <w:position w:val="16"/>
          <w:sz w:val="28"/>
          <w:szCs w:val="28"/>
        </w:rPr>
        <w:t>Finally,</w:t>
      </w:r>
      <w:r>
        <w:rPr>
          <w:rFonts w:eastAsia="Calibri"/>
          <w:position w:val="16"/>
          <w:sz w:val="28"/>
          <w:szCs w:val="28"/>
        </w:rPr>
        <w:t xml:space="preserve"> failure to a</w:t>
      </w:r>
      <w:r w:rsidR="00D724A4">
        <w:rPr>
          <w:rFonts w:eastAsia="Calibri"/>
          <w:position w:val="16"/>
          <w:sz w:val="28"/>
          <w:szCs w:val="28"/>
        </w:rPr>
        <w:t>bide by the Orders of the State and County Health Officers</w:t>
      </w:r>
      <w:r>
        <w:rPr>
          <w:rFonts w:eastAsia="Calibri"/>
          <w:position w:val="16"/>
          <w:sz w:val="28"/>
          <w:szCs w:val="28"/>
        </w:rPr>
        <w:t xml:space="preserve"> </w:t>
      </w:r>
      <w:r w:rsidR="0063527F">
        <w:rPr>
          <w:rFonts w:eastAsia="Calibri"/>
          <w:position w:val="16"/>
          <w:sz w:val="28"/>
          <w:szCs w:val="28"/>
        </w:rPr>
        <w:t>put</w:t>
      </w:r>
      <w:r w:rsidR="00B210DC" w:rsidRPr="0018242D">
        <w:rPr>
          <w:rFonts w:eastAsia="Calibri"/>
          <w:position w:val="16"/>
          <w:sz w:val="28"/>
          <w:szCs w:val="28"/>
        </w:rPr>
        <w:t xml:space="preserve"> at risk the health and safety of all persons within the County of River</w:t>
      </w:r>
      <w:r>
        <w:rPr>
          <w:rFonts w:eastAsia="Calibri"/>
          <w:position w:val="16"/>
          <w:sz w:val="28"/>
          <w:szCs w:val="28"/>
        </w:rPr>
        <w:t>side and the State as a whole</w:t>
      </w:r>
      <w:r w:rsidR="00B210DC" w:rsidRPr="0018242D">
        <w:rPr>
          <w:rFonts w:eastAsia="Calibri"/>
          <w:position w:val="16"/>
          <w:sz w:val="28"/>
          <w:szCs w:val="28"/>
        </w:rPr>
        <w:t xml:space="preserve">.  </w:t>
      </w:r>
      <w:r>
        <w:rPr>
          <w:position w:val="18"/>
          <w:sz w:val="28"/>
          <w:szCs w:val="28"/>
        </w:rPr>
        <w:t>F</w:t>
      </w:r>
      <w:r w:rsidR="00D724A4">
        <w:rPr>
          <w:position w:val="18"/>
          <w:sz w:val="28"/>
          <w:szCs w:val="28"/>
        </w:rPr>
        <w:t>or these reasons, and all those discussed in detail herein</w:t>
      </w:r>
      <w:r>
        <w:rPr>
          <w:position w:val="18"/>
          <w:sz w:val="28"/>
          <w:szCs w:val="28"/>
        </w:rPr>
        <w:t>, the County</w:t>
      </w:r>
      <w:r w:rsidR="005F5A89" w:rsidRPr="0018242D">
        <w:rPr>
          <w:position w:val="18"/>
          <w:sz w:val="28"/>
          <w:szCs w:val="28"/>
        </w:rPr>
        <w:t xml:space="preserve"> respectfully requests </w:t>
      </w:r>
      <w:r w:rsidR="005F5A89" w:rsidRPr="005F5A89">
        <w:rPr>
          <w:position w:val="18"/>
          <w:sz w:val="28"/>
          <w:szCs w:val="28"/>
        </w:rPr>
        <w:t xml:space="preserve">that the Court </w:t>
      </w:r>
      <w:r w:rsidR="005F5A89">
        <w:rPr>
          <w:position w:val="18"/>
          <w:sz w:val="28"/>
          <w:szCs w:val="28"/>
        </w:rPr>
        <w:t xml:space="preserve">deny Plaintiffs’ </w:t>
      </w:r>
      <w:r w:rsidR="009B2C05">
        <w:rPr>
          <w:position w:val="18"/>
          <w:sz w:val="28"/>
          <w:szCs w:val="28"/>
        </w:rPr>
        <w:t>Application for a Temporary Restraining Order in its entirety</w:t>
      </w:r>
      <w:r w:rsidR="00401DC0">
        <w:rPr>
          <w:position w:val="18"/>
          <w:sz w:val="28"/>
          <w:szCs w:val="28"/>
        </w:rPr>
        <w:t>.</w:t>
      </w:r>
      <w:r w:rsidR="002F60FA" w:rsidRPr="00385A43">
        <w:rPr>
          <w:sz w:val="28"/>
          <w:szCs w:val="28"/>
        </w:rPr>
        <w:tab/>
      </w:r>
    </w:p>
    <w:p w:rsidR="00DD0D9A" w:rsidRDefault="00DD0D9A" w:rsidP="00D810E3">
      <w:pPr>
        <w:tabs>
          <w:tab w:val="left" w:pos="5040"/>
          <w:tab w:val="left" w:pos="5472"/>
        </w:tabs>
        <w:spacing w:line="240" w:lineRule="exact"/>
        <w:rPr>
          <w:sz w:val="28"/>
          <w:szCs w:val="28"/>
        </w:rPr>
      </w:pPr>
    </w:p>
    <w:p w:rsidR="00DD0D9A" w:rsidRDefault="00DD0D9A" w:rsidP="00D810E3">
      <w:pPr>
        <w:tabs>
          <w:tab w:val="left" w:pos="5040"/>
          <w:tab w:val="left" w:pos="5472"/>
        </w:tabs>
        <w:spacing w:line="240" w:lineRule="exact"/>
        <w:rPr>
          <w:sz w:val="28"/>
          <w:szCs w:val="28"/>
        </w:rPr>
      </w:pPr>
    </w:p>
    <w:p w:rsidR="002F60FA" w:rsidRPr="00385A43" w:rsidRDefault="002F60FA" w:rsidP="00D810E3">
      <w:pPr>
        <w:tabs>
          <w:tab w:val="left" w:pos="5040"/>
          <w:tab w:val="left" w:pos="5472"/>
        </w:tabs>
        <w:spacing w:line="240" w:lineRule="exact"/>
        <w:rPr>
          <w:sz w:val="28"/>
          <w:szCs w:val="28"/>
        </w:rPr>
      </w:pPr>
      <w:r w:rsidRPr="00385A43">
        <w:rPr>
          <w:sz w:val="28"/>
          <w:szCs w:val="28"/>
        </w:rPr>
        <w:t xml:space="preserve">Dated: </w:t>
      </w:r>
      <w:r w:rsidRPr="00385A43">
        <w:rPr>
          <w:sz w:val="28"/>
          <w:szCs w:val="28"/>
          <w:u w:val="single"/>
        </w:rPr>
        <w:t>                 </w:t>
      </w:r>
      <w:r w:rsidR="00D810E3" w:rsidRPr="00385A43">
        <w:rPr>
          <w:sz w:val="28"/>
          <w:szCs w:val="28"/>
          <w:u w:val="single"/>
        </w:rPr>
        <w:t>   </w:t>
      </w:r>
      <w:r w:rsidRPr="00385A43">
        <w:rPr>
          <w:sz w:val="28"/>
          <w:szCs w:val="28"/>
          <w:u w:val="single"/>
        </w:rPr>
        <w:t>            </w:t>
      </w:r>
      <w:r w:rsidRPr="00385A43">
        <w:rPr>
          <w:sz w:val="28"/>
          <w:szCs w:val="28"/>
        </w:rPr>
        <w:tab/>
        <w:t xml:space="preserve">By: </w:t>
      </w:r>
      <w:r w:rsidRPr="00385A43">
        <w:rPr>
          <w:sz w:val="28"/>
          <w:szCs w:val="28"/>
          <w:u w:val="single"/>
        </w:rPr>
        <w:t>                            </w:t>
      </w:r>
      <w:r w:rsidR="00D810E3" w:rsidRPr="00385A43">
        <w:rPr>
          <w:sz w:val="28"/>
          <w:szCs w:val="28"/>
          <w:u w:val="single"/>
        </w:rPr>
        <w:t>                   </w:t>
      </w:r>
      <w:r w:rsidRPr="00385A43">
        <w:rPr>
          <w:sz w:val="28"/>
          <w:szCs w:val="28"/>
          <w:u w:val="single"/>
        </w:rPr>
        <w:t>                   </w:t>
      </w:r>
    </w:p>
    <w:p w:rsidR="008D528C" w:rsidRDefault="002F60FA" w:rsidP="00D810E3">
      <w:pPr>
        <w:tabs>
          <w:tab w:val="left" w:pos="5040"/>
          <w:tab w:val="left" w:pos="5472"/>
        </w:tabs>
        <w:spacing w:line="240" w:lineRule="exact"/>
        <w:rPr>
          <w:sz w:val="28"/>
          <w:szCs w:val="28"/>
        </w:rPr>
      </w:pPr>
      <w:r w:rsidRPr="00385A43">
        <w:rPr>
          <w:sz w:val="28"/>
          <w:szCs w:val="28"/>
        </w:rPr>
        <w:tab/>
      </w:r>
      <w:r w:rsidRPr="00385A43">
        <w:rPr>
          <w:sz w:val="28"/>
          <w:szCs w:val="28"/>
        </w:rPr>
        <w:tab/>
      </w:r>
      <w:r w:rsidR="008D528C">
        <w:rPr>
          <w:sz w:val="28"/>
          <w:szCs w:val="28"/>
        </w:rPr>
        <w:t xml:space="preserve">JAMES E. BROWN, </w:t>
      </w:r>
    </w:p>
    <w:p w:rsidR="008D528C" w:rsidRDefault="008D528C" w:rsidP="00D810E3">
      <w:pPr>
        <w:tabs>
          <w:tab w:val="left" w:pos="5040"/>
          <w:tab w:val="left" w:pos="5472"/>
        </w:tabs>
        <w:spacing w:line="240" w:lineRule="exact"/>
        <w:rPr>
          <w:sz w:val="28"/>
          <w:szCs w:val="28"/>
        </w:rPr>
      </w:pPr>
      <w:r>
        <w:rPr>
          <w:sz w:val="28"/>
          <w:szCs w:val="28"/>
        </w:rPr>
        <w:tab/>
      </w:r>
      <w:r>
        <w:rPr>
          <w:sz w:val="28"/>
          <w:szCs w:val="28"/>
        </w:rPr>
        <w:tab/>
        <w:t>Assistant County Counsel</w:t>
      </w:r>
    </w:p>
    <w:p w:rsidR="002061D8" w:rsidRDefault="002061D8" w:rsidP="00D810E3">
      <w:pPr>
        <w:tabs>
          <w:tab w:val="left" w:pos="5040"/>
          <w:tab w:val="left" w:pos="5472"/>
        </w:tabs>
        <w:spacing w:line="240" w:lineRule="exact"/>
        <w:rPr>
          <w:sz w:val="28"/>
          <w:szCs w:val="28"/>
        </w:rPr>
      </w:pPr>
    </w:p>
    <w:p w:rsidR="002061D8" w:rsidRDefault="002061D8" w:rsidP="002061D8">
      <w:pPr>
        <w:tabs>
          <w:tab w:val="left" w:pos="5040"/>
          <w:tab w:val="left" w:pos="5472"/>
        </w:tabs>
        <w:spacing w:line="240" w:lineRule="exact"/>
        <w:rPr>
          <w:sz w:val="28"/>
          <w:szCs w:val="28"/>
        </w:rPr>
      </w:pPr>
      <w:r>
        <w:rPr>
          <w:sz w:val="28"/>
          <w:szCs w:val="28"/>
        </w:rPr>
        <w:tab/>
      </w:r>
      <w:r>
        <w:rPr>
          <w:sz w:val="28"/>
          <w:szCs w:val="28"/>
        </w:rPr>
        <w:tab/>
        <w:t>RONAK N. PATEL</w:t>
      </w:r>
      <w:r w:rsidRPr="00385A43">
        <w:rPr>
          <w:sz w:val="28"/>
          <w:szCs w:val="28"/>
        </w:rPr>
        <w:t xml:space="preserve">, </w:t>
      </w:r>
    </w:p>
    <w:p w:rsidR="002061D8" w:rsidRDefault="002061D8" w:rsidP="002061D8">
      <w:pPr>
        <w:tabs>
          <w:tab w:val="left" w:pos="5040"/>
          <w:tab w:val="left" w:pos="5472"/>
        </w:tabs>
        <w:spacing w:line="240" w:lineRule="exact"/>
        <w:rPr>
          <w:sz w:val="28"/>
          <w:szCs w:val="28"/>
        </w:rPr>
      </w:pPr>
      <w:r>
        <w:rPr>
          <w:sz w:val="28"/>
          <w:szCs w:val="28"/>
        </w:rPr>
        <w:tab/>
      </w:r>
      <w:r>
        <w:rPr>
          <w:sz w:val="28"/>
          <w:szCs w:val="28"/>
        </w:rPr>
        <w:tab/>
      </w:r>
      <w:r w:rsidRPr="00385A43">
        <w:rPr>
          <w:sz w:val="28"/>
          <w:szCs w:val="28"/>
        </w:rPr>
        <w:t>Deputy County Counsel</w:t>
      </w:r>
    </w:p>
    <w:p w:rsidR="008D528C" w:rsidRDefault="008D528C" w:rsidP="00D810E3">
      <w:pPr>
        <w:tabs>
          <w:tab w:val="left" w:pos="5040"/>
          <w:tab w:val="left" w:pos="5472"/>
        </w:tabs>
        <w:spacing w:line="240" w:lineRule="exact"/>
        <w:rPr>
          <w:sz w:val="28"/>
          <w:szCs w:val="28"/>
        </w:rPr>
      </w:pPr>
    </w:p>
    <w:p w:rsidR="008D528C" w:rsidRDefault="008D528C" w:rsidP="00D810E3">
      <w:pPr>
        <w:tabs>
          <w:tab w:val="left" w:pos="5040"/>
          <w:tab w:val="left" w:pos="5472"/>
        </w:tabs>
        <w:spacing w:line="240" w:lineRule="exact"/>
        <w:rPr>
          <w:sz w:val="28"/>
          <w:szCs w:val="28"/>
        </w:rPr>
      </w:pPr>
      <w:r>
        <w:rPr>
          <w:sz w:val="28"/>
          <w:szCs w:val="28"/>
        </w:rPr>
        <w:tab/>
      </w:r>
      <w:r>
        <w:rPr>
          <w:sz w:val="28"/>
          <w:szCs w:val="28"/>
        </w:rPr>
        <w:tab/>
      </w:r>
      <w:r w:rsidR="00474F25" w:rsidRPr="00385A43">
        <w:rPr>
          <w:sz w:val="28"/>
          <w:szCs w:val="28"/>
        </w:rPr>
        <w:t>KELLY A. MORAN,</w:t>
      </w:r>
      <w:r w:rsidR="002F60FA" w:rsidRPr="00385A43">
        <w:rPr>
          <w:sz w:val="28"/>
          <w:szCs w:val="28"/>
        </w:rPr>
        <w:t xml:space="preserve"> </w:t>
      </w:r>
    </w:p>
    <w:p w:rsidR="002F60FA" w:rsidRDefault="008D528C" w:rsidP="00D810E3">
      <w:pPr>
        <w:tabs>
          <w:tab w:val="left" w:pos="5040"/>
          <w:tab w:val="left" w:pos="5472"/>
        </w:tabs>
        <w:spacing w:line="240" w:lineRule="exact"/>
        <w:rPr>
          <w:sz w:val="28"/>
          <w:szCs w:val="28"/>
        </w:rPr>
      </w:pPr>
      <w:r>
        <w:rPr>
          <w:sz w:val="28"/>
          <w:szCs w:val="28"/>
        </w:rPr>
        <w:tab/>
      </w:r>
      <w:r>
        <w:rPr>
          <w:sz w:val="28"/>
          <w:szCs w:val="28"/>
        </w:rPr>
        <w:tab/>
      </w:r>
      <w:r w:rsidR="002F60FA" w:rsidRPr="00385A43">
        <w:rPr>
          <w:sz w:val="28"/>
          <w:szCs w:val="28"/>
        </w:rPr>
        <w:t>Deputy County Counsel</w:t>
      </w:r>
    </w:p>
    <w:p w:rsidR="008D528C" w:rsidRPr="00385A43" w:rsidRDefault="008D528C" w:rsidP="00D810E3">
      <w:pPr>
        <w:tabs>
          <w:tab w:val="left" w:pos="5040"/>
          <w:tab w:val="left" w:pos="5472"/>
        </w:tabs>
        <w:spacing w:line="240" w:lineRule="exact"/>
        <w:rPr>
          <w:sz w:val="28"/>
          <w:szCs w:val="28"/>
        </w:rPr>
      </w:pPr>
    </w:p>
    <w:p w:rsidR="009E6F5A" w:rsidRPr="00385A43" w:rsidRDefault="008D528C" w:rsidP="00DD0D9A">
      <w:pPr>
        <w:tabs>
          <w:tab w:val="left" w:pos="5040"/>
          <w:tab w:val="left" w:pos="5472"/>
        </w:tabs>
        <w:spacing w:line="240" w:lineRule="exact"/>
        <w:ind w:left="5472"/>
        <w:rPr>
          <w:position w:val="18"/>
          <w:sz w:val="28"/>
          <w:szCs w:val="28"/>
        </w:rPr>
      </w:pPr>
      <w:r w:rsidRPr="008D528C">
        <w:rPr>
          <w:sz w:val="28"/>
          <w:szCs w:val="28"/>
        </w:rPr>
        <w:t xml:space="preserve">Attorneys for Defendants, CAMERON KAISER, GEORGE JOHNSON, </w:t>
      </w:r>
      <w:r>
        <w:rPr>
          <w:sz w:val="28"/>
          <w:szCs w:val="28"/>
        </w:rPr>
        <w:t>CHAD BIANCO; KEVIN JEFFRIES</w:t>
      </w:r>
      <w:r w:rsidRPr="008D528C">
        <w:rPr>
          <w:sz w:val="28"/>
          <w:szCs w:val="28"/>
        </w:rPr>
        <w:t>; KAREN SPIEGEL, CHUCH WASHINGTON, V. MANUEL PEREZ, and JEFF HEWITT</w:t>
      </w:r>
      <w:bookmarkStart w:id="0" w:name="_GoBack"/>
      <w:bookmarkEnd w:id="0"/>
    </w:p>
    <w:p w:rsidR="00F55F28" w:rsidRPr="00385A43" w:rsidRDefault="00F55F28" w:rsidP="002F60FA">
      <w:pPr>
        <w:tabs>
          <w:tab w:val="left" w:pos="720"/>
          <w:tab w:val="left" w:pos="1440"/>
          <w:tab w:val="left" w:pos="2160"/>
        </w:tabs>
        <w:spacing w:line="480" w:lineRule="exact"/>
        <w:jc w:val="both"/>
        <w:rPr>
          <w:position w:val="18"/>
          <w:sz w:val="28"/>
          <w:szCs w:val="28"/>
        </w:rPr>
      </w:pPr>
    </w:p>
    <w:p w:rsidR="000804BB" w:rsidRPr="00B058DD" w:rsidRDefault="00385A43" w:rsidP="0063527F">
      <w:pPr>
        <w:tabs>
          <w:tab w:val="left" w:pos="720"/>
          <w:tab w:val="left" w:pos="1440"/>
          <w:tab w:val="left" w:pos="2160"/>
        </w:tabs>
        <w:spacing w:line="240" w:lineRule="exact"/>
        <w:rPr>
          <w:sz w:val="28"/>
          <w:szCs w:val="28"/>
        </w:rPr>
      </w:pPr>
      <w:r w:rsidRPr="00B058DD">
        <w:rPr>
          <w:sz w:val="28"/>
          <w:szCs w:val="28"/>
        </w:rPr>
        <w:t xml:space="preserve"> </w:t>
      </w:r>
    </w:p>
    <w:sectPr w:rsidR="000804BB" w:rsidRPr="00B058DD" w:rsidSect="00F55F28">
      <w:headerReference w:type="even" r:id="rId13"/>
      <w:headerReference w:type="default" r:id="rId14"/>
      <w:footerReference w:type="default" r:id="rId15"/>
      <w:headerReference w:type="first" r:id="rId16"/>
      <w:pgSz w:w="12240" w:h="15840" w:code="1"/>
      <w:pgMar w:top="1440" w:right="576" w:bottom="936"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258" w:rsidRDefault="00857258">
      <w:r>
        <w:separator/>
      </w:r>
    </w:p>
  </w:endnote>
  <w:endnote w:type="continuationSeparator" w:id="0">
    <w:p w:rsidR="00857258" w:rsidRDefault="0085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966" w:rsidRPr="00AC7482" w:rsidRDefault="00F36966" w:rsidP="00F36966">
    <w:pPr>
      <w:pStyle w:val="Footer"/>
      <w:spacing w:line="240" w:lineRule="exact"/>
      <w:jc w:val="center"/>
      <w:rPr>
        <w:u w:val="single"/>
      </w:rPr>
    </w:pPr>
    <w:r w:rsidRPr="00AC7482">
      <w:rPr>
        <w:u w:val="single"/>
      </w:rPr>
      <w:t>            </w:t>
    </w:r>
    <w:r w:rsidR="003039B8">
      <w:rPr>
        <w:u w:val="single"/>
      </w:rPr>
      <w:t>          </w:t>
    </w:r>
    <w:r w:rsidRPr="00AC7482">
      <w:rPr>
        <w:u w:val="single"/>
      </w:rPr>
      <w:t>               </w:t>
    </w:r>
    <w:r w:rsidR="003039B8">
      <w:rPr>
        <w:u w:val="single"/>
      </w:rPr>
      <w:t>          </w:t>
    </w:r>
    <w:r w:rsidRPr="00AC7482">
      <w:rPr>
        <w:u w:val="single"/>
      </w:rPr>
      <w:t>   </w:t>
    </w:r>
    <w:r w:rsidRPr="00AC7482">
      <w:rPr>
        <w:u w:val="single"/>
      </w:rPr>
      <w:fldChar w:fldCharType="begin"/>
    </w:r>
    <w:r w:rsidRPr="00AC7482">
      <w:rPr>
        <w:u w:val="single"/>
      </w:rPr>
      <w:instrText xml:space="preserve"> PAGE   \* MERGEFORMAT </w:instrText>
    </w:r>
    <w:r w:rsidRPr="00AC7482">
      <w:rPr>
        <w:u w:val="single"/>
      </w:rPr>
      <w:fldChar w:fldCharType="separate"/>
    </w:r>
    <w:r w:rsidR="00DD0D9A">
      <w:rPr>
        <w:noProof/>
        <w:u w:val="single"/>
      </w:rPr>
      <w:t>32</w:t>
    </w:r>
    <w:r w:rsidRPr="00AC7482">
      <w:rPr>
        <w:u w:val="single"/>
      </w:rPr>
      <w:fldChar w:fldCharType="end"/>
    </w:r>
    <w:r w:rsidRPr="00AC7482">
      <w:rPr>
        <w:u w:val="single"/>
      </w:rPr>
      <w:t>                           </w:t>
    </w:r>
    <w:r w:rsidR="003039B8">
      <w:rPr>
        <w:u w:val="single"/>
      </w:rPr>
      <w:t>               </w:t>
    </w:r>
    <w:r w:rsidRPr="00AC7482">
      <w:rPr>
        <w:u w:val="single"/>
      </w:rPr>
      <w:t> </w:t>
    </w:r>
    <w:r w:rsidR="003039B8">
      <w:rPr>
        <w:u w:val="single"/>
      </w:rPr>
      <w:t>     </w:t>
    </w:r>
    <w:r w:rsidRPr="00AC7482">
      <w:rPr>
        <w:u w:val="single"/>
      </w:rPr>
      <w:t>  </w:t>
    </w:r>
  </w:p>
  <w:p w:rsidR="00F36966" w:rsidRPr="00D8256B" w:rsidRDefault="00355FA7" w:rsidP="005165F2">
    <w:pPr>
      <w:pStyle w:val="Footer"/>
      <w:spacing w:line="240" w:lineRule="exact"/>
      <w:jc w:val="center"/>
      <w:rPr>
        <w:b/>
      </w:rPr>
    </w:pPr>
    <w:r>
      <w:rPr>
        <w:b/>
      </w:rPr>
      <w:t xml:space="preserve">COUNTY OF RIVERSIDE, ET AL.’S </w:t>
    </w:r>
    <w:r w:rsidR="005165F2" w:rsidRPr="005165F2">
      <w:rPr>
        <w:b/>
      </w:rPr>
      <w:t>OPPOSITION TO PLAINTIFFS’ APPLICATION FOR TEMPORARY RESTRAINING ORDER (DOCKET NO. 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258" w:rsidRDefault="00857258">
      <w:r>
        <w:separator/>
      </w:r>
    </w:p>
  </w:footnote>
  <w:footnote w:type="continuationSeparator" w:id="0">
    <w:p w:rsidR="00857258" w:rsidRDefault="00857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61C" w:rsidRDefault="00DD0D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8" type="#_x0000_t136" style="position:absolute;margin-left:0;margin-top:0;width:560.6pt;height:160.15pt;rotation:315;z-index:-251660288;mso-position-horizontal:center;mso-position-horizontal-relative:margin;mso-position-vertical:center;mso-position-vertical-relative:margin" o:allowincell="f" fillcolor="#ddd" stroked="f">
          <v:fill opacity=".5"/>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61C" w:rsidRDefault="001B568A" w:rsidP="00C111C6">
    <w:pPr>
      <w:pStyle w:val="Header"/>
      <w:spacing w:line="240" w:lineRule="exact"/>
      <w:jc w:val="right"/>
    </w:pPr>
    <w:r>
      <w:rPr>
        <w:noProof/>
      </w:rPr>
      <mc:AlternateContent>
        <mc:Choice Requires="wps">
          <w:drawing>
            <wp:anchor distT="0" distB="0" distL="114300" distR="114300" simplePos="0" relativeHeight="251660288" behindDoc="0" locked="0" layoutInCell="1" allowOverlap="1" wp14:anchorId="7FCC788F" wp14:editId="623A0626">
              <wp:simplePos x="0" y="0"/>
              <wp:positionH relativeFrom="margin">
                <wp:posOffset>-640080</wp:posOffset>
              </wp:positionH>
              <wp:positionV relativeFrom="margin">
                <wp:posOffset>0</wp:posOffset>
              </wp:positionV>
              <wp:extent cx="457200" cy="8915400"/>
              <wp:effectExtent l="0" t="0" r="1905"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91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761C" w:rsidRPr="00870796" w:rsidRDefault="0064761C">
                          <w:pPr>
                            <w:spacing w:line="480" w:lineRule="exact"/>
                            <w:jc w:val="right"/>
                            <w:rPr>
                              <w:position w:val="18"/>
                              <w:sz w:val="24"/>
                            </w:rPr>
                          </w:pPr>
                          <w:r w:rsidRPr="00870796">
                            <w:rPr>
                              <w:position w:val="18"/>
                              <w:sz w:val="24"/>
                            </w:rPr>
                            <w:t>1</w:t>
                          </w:r>
                        </w:p>
                        <w:p w:rsidR="0064761C" w:rsidRPr="00870796" w:rsidRDefault="0064761C">
                          <w:pPr>
                            <w:spacing w:line="480" w:lineRule="exact"/>
                            <w:jc w:val="right"/>
                            <w:rPr>
                              <w:position w:val="18"/>
                              <w:sz w:val="24"/>
                            </w:rPr>
                          </w:pPr>
                          <w:r w:rsidRPr="00870796">
                            <w:rPr>
                              <w:position w:val="18"/>
                              <w:sz w:val="24"/>
                            </w:rPr>
                            <w:t>2</w:t>
                          </w:r>
                        </w:p>
                        <w:p w:rsidR="0064761C" w:rsidRPr="00870796" w:rsidRDefault="0064761C">
                          <w:pPr>
                            <w:spacing w:line="480" w:lineRule="exact"/>
                            <w:jc w:val="right"/>
                            <w:rPr>
                              <w:position w:val="18"/>
                              <w:sz w:val="24"/>
                            </w:rPr>
                          </w:pPr>
                          <w:r w:rsidRPr="00870796">
                            <w:rPr>
                              <w:position w:val="18"/>
                              <w:sz w:val="24"/>
                            </w:rPr>
                            <w:t>3</w:t>
                          </w:r>
                        </w:p>
                        <w:p w:rsidR="0064761C" w:rsidRPr="00870796" w:rsidRDefault="0064761C">
                          <w:pPr>
                            <w:spacing w:line="480" w:lineRule="exact"/>
                            <w:jc w:val="right"/>
                            <w:rPr>
                              <w:position w:val="18"/>
                              <w:sz w:val="24"/>
                            </w:rPr>
                          </w:pPr>
                          <w:r w:rsidRPr="00870796">
                            <w:rPr>
                              <w:position w:val="18"/>
                              <w:sz w:val="24"/>
                            </w:rPr>
                            <w:t>4</w:t>
                          </w:r>
                        </w:p>
                        <w:p w:rsidR="0064761C" w:rsidRPr="00870796" w:rsidRDefault="0064761C">
                          <w:pPr>
                            <w:spacing w:line="480" w:lineRule="exact"/>
                            <w:jc w:val="right"/>
                            <w:rPr>
                              <w:position w:val="18"/>
                              <w:sz w:val="24"/>
                            </w:rPr>
                          </w:pPr>
                          <w:r w:rsidRPr="00870796">
                            <w:rPr>
                              <w:position w:val="18"/>
                              <w:sz w:val="24"/>
                            </w:rPr>
                            <w:t>5</w:t>
                          </w:r>
                        </w:p>
                        <w:p w:rsidR="0064761C" w:rsidRPr="00870796" w:rsidRDefault="0064761C">
                          <w:pPr>
                            <w:spacing w:line="480" w:lineRule="exact"/>
                            <w:jc w:val="right"/>
                            <w:rPr>
                              <w:position w:val="18"/>
                              <w:sz w:val="24"/>
                            </w:rPr>
                          </w:pPr>
                          <w:r w:rsidRPr="00870796">
                            <w:rPr>
                              <w:position w:val="18"/>
                              <w:sz w:val="24"/>
                            </w:rPr>
                            <w:t>6</w:t>
                          </w:r>
                        </w:p>
                        <w:p w:rsidR="0064761C" w:rsidRPr="00870796" w:rsidRDefault="0064761C">
                          <w:pPr>
                            <w:spacing w:line="480" w:lineRule="exact"/>
                            <w:jc w:val="right"/>
                            <w:rPr>
                              <w:position w:val="18"/>
                              <w:sz w:val="24"/>
                            </w:rPr>
                          </w:pPr>
                          <w:r w:rsidRPr="00870796">
                            <w:rPr>
                              <w:position w:val="18"/>
                              <w:sz w:val="24"/>
                            </w:rPr>
                            <w:t>7</w:t>
                          </w:r>
                        </w:p>
                        <w:p w:rsidR="0064761C" w:rsidRPr="00870796" w:rsidRDefault="0064761C">
                          <w:pPr>
                            <w:spacing w:line="480" w:lineRule="exact"/>
                            <w:jc w:val="right"/>
                            <w:rPr>
                              <w:position w:val="18"/>
                              <w:sz w:val="24"/>
                            </w:rPr>
                          </w:pPr>
                          <w:r w:rsidRPr="00870796">
                            <w:rPr>
                              <w:position w:val="18"/>
                              <w:sz w:val="24"/>
                            </w:rPr>
                            <w:t>8</w:t>
                          </w:r>
                        </w:p>
                        <w:p w:rsidR="0064761C" w:rsidRPr="00870796" w:rsidRDefault="0064761C">
                          <w:pPr>
                            <w:spacing w:line="480" w:lineRule="exact"/>
                            <w:jc w:val="right"/>
                            <w:rPr>
                              <w:position w:val="18"/>
                              <w:sz w:val="24"/>
                            </w:rPr>
                          </w:pPr>
                          <w:r w:rsidRPr="00870796">
                            <w:rPr>
                              <w:position w:val="18"/>
                              <w:sz w:val="24"/>
                            </w:rPr>
                            <w:t>9</w:t>
                          </w:r>
                        </w:p>
                        <w:p w:rsidR="0064761C" w:rsidRPr="00870796" w:rsidRDefault="0064761C">
                          <w:pPr>
                            <w:spacing w:line="480" w:lineRule="exact"/>
                            <w:jc w:val="right"/>
                            <w:rPr>
                              <w:position w:val="18"/>
                              <w:sz w:val="24"/>
                            </w:rPr>
                          </w:pPr>
                          <w:r w:rsidRPr="00870796">
                            <w:rPr>
                              <w:position w:val="18"/>
                              <w:sz w:val="24"/>
                            </w:rPr>
                            <w:t>10</w:t>
                          </w:r>
                        </w:p>
                        <w:p w:rsidR="0064761C" w:rsidRPr="00870796" w:rsidRDefault="0064761C">
                          <w:pPr>
                            <w:spacing w:line="480" w:lineRule="exact"/>
                            <w:jc w:val="right"/>
                            <w:rPr>
                              <w:position w:val="18"/>
                              <w:sz w:val="24"/>
                            </w:rPr>
                          </w:pPr>
                          <w:r w:rsidRPr="00870796">
                            <w:rPr>
                              <w:position w:val="18"/>
                              <w:sz w:val="24"/>
                            </w:rPr>
                            <w:t>11</w:t>
                          </w:r>
                        </w:p>
                        <w:p w:rsidR="0064761C" w:rsidRPr="00870796" w:rsidRDefault="0064761C">
                          <w:pPr>
                            <w:spacing w:line="480" w:lineRule="exact"/>
                            <w:jc w:val="right"/>
                            <w:rPr>
                              <w:position w:val="18"/>
                              <w:sz w:val="24"/>
                            </w:rPr>
                          </w:pPr>
                          <w:r w:rsidRPr="00870796">
                            <w:rPr>
                              <w:position w:val="18"/>
                              <w:sz w:val="24"/>
                            </w:rPr>
                            <w:t>12</w:t>
                          </w:r>
                        </w:p>
                        <w:p w:rsidR="0064761C" w:rsidRPr="00870796" w:rsidRDefault="0064761C">
                          <w:pPr>
                            <w:spacing w:line="480" w:lineRule="exact"/>
                            <w:jc w:val="right"/>
                            <w:rPr>
                              <w:position w:val="18"/>
                              <w:sz w:val="24"/>
                            </w:rPr>
                          </w:pPr>
                          <w:r w:rsidRPr="00870796">
                            <w:rPr>
                              <w:position w:val="18"/>
                              <w:sz w:val="24"/>
                            </w:rPr>
                            <w:t>13</w:t>
                          </w:r>
                        </w:p>
                        <w:p w:rsidR="0064761C" w:rsidRPr="00870796" w:rsidRDefault="0064761C">
                          <w:pPr>
                            <w:spacing w:line="480" w:lineRule="exact"/>
                            <w:jc w:val="right"/>
                            <w:rPr>
                              <w:position w:val="18"/>
                              <w:sz w:val="24"/>
                            </w:rPr>
                          </w:pPr>
                          <w:r w:rsidRPr="00870796">
                            <w:rPr>
                              <w:position w:val="18"/>
                              <w:sz w:val="24"/>
                            </w:rPr>
                            <w:t>14</w:t>
                          </w:r>
                        </w:p>
                        <w:p w:rsidR="0064761C" w:rsidRPr="00870796" w:rsidRDefault="0064761C">
                          <w:pPr>
                            <w:spacing w:line="480" w:lineRule="exact"/>
                            <w:jc w:val="right"/>
                            <w:rPr>
                              <w:position w:val="18"/>
                              <w:sz w:val="24"/>
                            </w:rPr>
                          </w:pPr>
                          <w:r w:rsidRPr="00870796">
                            <w:rPr>
                              <w:position w:val="18"/>
                              <w:sz w:val="24"/>
                            </w:rPr>
                            <w:t>15</w:t>
                          </w:r>
                        </w:p>
                        <w:p w:rsidR="0064761C" w:rsidRPr="00870796" w:rsidRDefault="0064761C">
                          <w:pPr>
                            <w:spacing w:line="480" w:lineRule="exact"/>
                            <w:jc w:val="right"/>
                            <w:rPr>
                              <w:position w:val="18"/>
                              <w:sz w:val="24"/>
                            </w:rPr>
                          </w:pPr>
                          <w:r w:rsidRPr="00870796">
                            <w:rPr>
                              <w:position w:val="18"/>
                              <w:sz w:val="24"/>
                            </w:rPr>
                            <w:t>16</w:t>
                          </w:r>
                        </w:p>
                        <w:p w:rsidR="0064761C" w:rsidRPr="00870796" w:rsidRDefault="0064761C">
                          <w:pPr>
                            <w:spacing w:line="480" w:lineRule="exact"/>
                            <w:jc w:val="right"/>
                            <w:rPr>
                              <w:position w:val="18"/>
                              <w:sz w:val="24"/>
                            </w:rPr>
                          </w:pPr>
                          <w:r w:rsidRPr="00870796">
                            <w:rPr>
                              <w:position w:val="18"/>
                              <w:sz w:val="24"/>
                            </w:rPr>
                            <w:t>17</w:t>
                          </w:r>
                        </w:p>
                        <w:p w:rsidR="0064761C" w:rsidRPr="00870796" w:rsidRDefault="0064761C">
                          <w:pPr>
                            <w:spacing w:line="480" w:lineRule="exact"/>
                            <w:jc w:val="right"/>
                            <w:rPr>
                              <w:position w:val="18"/>
                              <w:sz w:val="24"/>
                            </w:rPr>
                          </w:pPr>
                          <w:r w:rsidRPr="00870796">
                            <w:rPr>
                              <w:position w:val="18"/>
                              <w:sz w:val="24"/>
                            </w:rPr>
                            <w:t>18</w:t>
                          </w:r>
                        </w:p>
                        <w:p w:rsidR="0064761C" w:rsidRPr="00870796" w:rsidRDefault="0064761C">
                          <w:pPr>
                            <w:spacing w:line="480" w:lineRule="exact"/>
                            <w:jc w:val="right"/>
                            <w:rPr>
                              <w:position w:val="18"/>
                              <w:sz w:val="24"/>
                            </w:rPr>
                          </w:pPr>
                          <w:r w:rsidRPr="00870796">
                            <w:rPr>
                              <w:position w:val="18"/>
                              <w:sz w:val="24"/>
                            </w:rPr>
                            <w:t>19</w:t>
                          </w:r>
                        </w:p>
                        <w:p w:rsidR="0064761C" w:rsidRPr="00870796" w:rsidRDefault="0064761C">
                          <w:pPr>
                            <w:spacing w:line="480" w:lineRule="exact"/>
                            <w:jc w:val="right"/>
                            <w:rPr>
                              <w:position w:val="18"/>
                              <w:sz w:val="24"/>
                            </w:rPr>
                          </w:pPr>
                          <w:r w:rsidRPr="00870796">
                            <w:rPr>
                              <w:position w:val="18"/>
                              <w:sz w:val="24"/>
                            </w:rPr>
                            <w:t>20</w:t>
                          </w:r>
                        </w:p>
                        <w:p w:rsidR="0064761C" w:rsidRPr="00870796" w:rsidRDefault="0064761C">
                          <w:pPr>
                            <w:spacing w:line="480" w:lineRule="exact"/>
                            <w:jc w:val="right"/>
                            <w:rPr>
                              <w:position w:val="18"/>
                              <w:sz w:val="24"/>
                            </w:rPr>
                          </w:pPr>
                          <w:r w:rsidRPr="00870796">
                            <w:rPr>
                              <w:position w:val="18"/>
                              <w:sz w:val="24"/>
                            </w:rPr>
                            <w:t>21</w:t>
                          </w:r>
                        </w:p>
                        <w:p w:rsidR="0064761C" w:rsidRPr="00870796" w:rsidRDefault="0064761C">
                          <w:pPr>
                            <w:spacing w:line="480" w:lineRule="exact"/>
                            <w:jc w:val="right"/>
                            <w:rPr>
                              <w:position w:val="18"/>
                              <w:sz w:val="24"/>
                            </w:rPr>
                          </w:pPr>
                          <w:r w:rsidRPr="00870796">
                            <w:rPr>
                              <w:position w:val="18"/>
                              <w:sz w:val="24"/>
                            </w:rPr>
                            <w:t>22</w:t>
                          </w:r>
                        </w:p>
                        <w:p w:rsidR="0064761C" w:rsidRPr="00870796" w:rsidRDefault="0064761C">
                          <w:pPr>
                            <w:spacing w:line="480" w:lineRule="exact"/>
                            <w:jc w:val="right"/>
                            <w:rPr>
                              <w:position w:val="18"/>
                              <w:sz w:val="24"/>
                            </w:rPr>
                          </w:pPr>
                          <w:r w:rsidRPr="00870796">
                            <w:rPr>
                              <w:position w:val="18"/>
                              <w:sz w:val="24"/>
                            </w:rPr>
                            <w:t>23</w:t>
                          </w:r>
                        </w:p>
                        <w:p w:rsidR="0064761C" w:rsidRPr="00870796" w:rsidRDefault="0064761C">
                          <w:pPr>
                            <w:spacing w:line="480" w:lineRule="exact"/>
                            <w:jc w:val="right"/>
                            <w:rPr>
                              <w:position w:val="18"/>
                              <w:sz w:val="24"/>
                            </w:rPr>
                          </w:pPr>
                          <w:r w:rsidRPr="00870796">
                            <w:rPr>
                              <w:position w:val="18"/>
                              <w:sz w:val="24"/>
                            </w:rPr>
                            <w:t>24</w:t>
                          </w:r>
                        </w:p>
                        <w:p w:rsidR="0064761C" w:rsidRPr="00870796" w:rsidRDefault="0064761C">
                          <w:pPr>
                            <w:spacing w:line="480" w:lineRule="exact"/>
                            <w:jc w:val="right"/>
                            <w:rPr>
                              <w:position w:val="18"/>
                              <w:sz w:val="24"/>
                            </w:rPr>
                          </w:pPr>
                          <w:r w:rsidRPr="00870796">
                            <w:rPr>
                              <w:position w:val="18"/>
                              <w:sz w:val="24"/>
                            </w:rPr>
                            <w:t>25</w:t>
                          </w:r>
                        </w:p>
                        <w:p w:rsidR="0064761C" w:rsidRPr="00870796" w:rsidRDefault="0064761C">
                          <w:pPr>
                            <w:spacing w:line="480" w:lineRule="exact"/>
                            <w:jc w:val="right"/>
                            <w:rPr>
                              <w:position w:val="18"/>
                              <w:sz w:val="24"/>
                            </w:rPr>
                          </w:pPr>
                          <w:r w:rsidRPr="00870796">
                            <w:rPr>
                              <w:position w:val="18"/>
                              <w:sz w:val="24"/>
                            </w:rPr>
                            <w:t>26</w:t>
                          </w:r>
                        </w:p>
                        <w:p w:rsidR="0064761C" w:rsidRPr="00870796" w:rsidRDefault="0064761C">
                          <w:pPr>
                            <w:spacing w:line="480" w:lineRule="exact"/>
                            <w:jc w:val="right"/>
                            <w:rPr>
                              <w:position w:val="18"/>
                              <w:sz w:val="24"/>
                            </w:rPr>
                          </w:pPr>
                          <w:r w:rsidRPr="00870796">
                            <w:rPr>
                              <w:position w:val="18"/>
                              <w:sz w:val="24"/>
                            </w:rPr>
                            <w:t>27</w:t>
                          </w:r>
                        </w:p>
                        <w:p w:rsidR="0064761C" w:rsidRPr="00870796" w:rsidRDefault="0064761C">
                          <w:pPr>
                            <w:spacing w:line="480" w:lineRule="exact"/>
                            <w:jc w:val="right"/>
                            <w:rPr>
                              <w:position w:val="18"/>
                              <w:sz w:val="24"/>
                            </w:rPr>
                          </w:pPr>
                          <w:r w:rsidRPr="00870796">
                            <w:rPr>
                              <w:position w:val="18"/>
                              <w:sz w:val="24"/>
                            </w:rPr>
                            <w:t>28</w:t>
                          </w:r>
                        </w:p>
                        <w:p w:rsidR="0064761C" w:rsidRDefault="0064761C">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FCC788F" id="_x0000_t202" coordsize="21600,21600" o:spt="202" path="m,l,21600r21600,l21600,xe">
              <v:stroke joinstyle="miter"/>
              <v:path gradientshapeok="t" o:connecttype="rect"/>
            </v:shapetype>
            <v:shape id="LineNumbers" o:spid="_x0000_s1026" type="#_x0000_t202" style="position:absolute;left:0;text-align:left;margin-left:-50.4pt;margin-top:0;width:36pt;height:7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" stroked="f">
              <v:textbox inset="0,0,0,0">
                <w:txbxContent>
                  <w:p w:rsidR="0064761C" w:rsidRPr="00870796" w:rsidRDefault="0064761C">
                    <w:pPr>
                      <w:spacing w:line="480" w:lineRule="exact"/>
                      <w:jc w:val="right"/>
                      <w:rPr>
                        <w:position w:val="18"/>
                        <w:sz w:val="24"/>
                      </w:rPr>
                    </w:pPr>
                    <w:r w:rsidRPr="00870796">
                      <w:rPr>
                        <w:position w:val="18"/>
                        <w:sz w:val="24"/>
                      </w:rPr>
                      <w:t>1</w:t>
                    </w:r>
                  </w:p>
                  <w:p w:rsidR="0064761C" w:rsidRPr="00870796" w:rsidRDefault="0064761C">
                    <w:pPr>
                      <w:spacing w:line="480" w:lineRule="exact"/>
                      <w:jc w:val="right"/>
                      <w:rPr>
                        <w:position w:val="18"/>
                        <w:sz w:val="24"/>
                      </w:rPr>
                    </w:pPr>
                    <w:r w:rsidRPr="00870796">
                      <w:rPr>
                        <w:position w:val="18"/>
                        <w:sz w:val="24"/>
                      </w:rPr>
                      <w:t>2</w:t>
                    </w:r>
                  </w:p>
                  <w:p w:rsidR="0064761C" w:rsidRPr="00870796" w:rsidRDefault="0064761C">
                    <w:pPr>
                      <w:spacing w:line="480" w:lineRule="exact"/>
                      <w:jc w:val="right"/>
                      <w:rPr>
                        <w:position w:val="18"/>
                        <w:sz w:val="24"/>
                      </w:rPr>
                    </w:pPr>
                    <w:r w:rsidRPr="00870796">
                      <w:rPr>
                        <w:position w:val="18"/>
                        <w:sz w:val="24"/>
                      </w:rPr>
                      <w:t>3</w:t>
                    </w:r>
                  </w:p>
                  <w:p w:rsidR="0064761C" w:rsidRPr="00870796" w:rsidRDefault="0064761C">
                    <w:pPr>
                      <w:spacing w:line="480" w:lineRule="exact"/>
                      <w:jc w:val="right"/>
                      <w:rPr>
                        <w:position w:val="18"/>
                        <w:sz w:val="24"/>
                      </w:rPr>
                    </w:pPr>
                    <w:r w:rsidRPr="00870796">
                      <w:rPr>
                        <w:position w:val="18"/>
                        <w:sz w:val="24"/>
                      </w:rPr>
                      <w:t>4</w:t>
                    </w:r>
                  </w:p>
                  <w:p w:rsidR="0064761C" w:rsidRPr="00870796" w:rsidRDefault="0064761C">
                    <w:pPr>
                      <w:spacing w:line="480" w:lineRule="exact"/>
                      <w:jc w:val="right"/>
                      <w:rPr>
                        <w:position w:val="18"/>
                        <w:sz w:val="24"/>
                      </w:rPr>
                    </w:pPr>
                    <w:r w:rsidRPr="00870796">
                      <w:rPr>
                        <w:position w:val="18"/>
                        <w:sz w:val="24"/>
                      </w:rPr>
                      <w:t>5</w:t>
                    </w:r>
                  </w:p>
                  <w:p w:rsidR="0064761C" w:rsidRPr="00870796" w:rsidRDefault="0064761C">
                    <w:pPr>
                      <w:spacing w:line="480" w:lineRule="exact"/>
                      <w:jc w:val="right"/>
                      <w:rPr>
                        <w:position w:val="18"/>
                        <w:sz w:val="24"/>
                      </w:rPr>
                    </w:pPr>
                    <w:r w:rsidRPr="00870796">
                      <w:rPr>
                        <w:position w:val="18"/>
                        <w:sz w:val="24"/>
                      </w:rPr>
                      <w:t>6</w:t>
                    </w:r>
                  </w:p>
                  <w:p w:rsidR="0064761C" w:rsidRPr="00870796" w:rsidRDefault="0064761C">
                    <w:pPr>
                      <w:spacing w:line="480" w:lineRule="exact"/>
                      <w:jc w:val="right"/>
                      <w:rPr>
                        <w:position w:val="18"/>
                        <w:sz w:val="24"/>
                      </w:rPr>
                    </w:pPr>
                    <w:r w:rsidRPr="00870796">
                      <w:rPr>
                        <w:position w:val="18"/>
                        <w:sz w:val="24"/>
                      </w:rPr>
                      <w:t>7</w:t>
                    </w:r>
                  </w:p>
                  <w:p w:rsidR="0064761C" w:rsidRPr="00870796" w:rsidRDefault="0064761C">
                    <w:pPr>
                      <w:spacing w:line="480" w:lineRule="exact"/>
                      <w:jc w:val="right"/>
                      <w:rPr>
                        <w:position w:val="18"/>
                        <w:sz w:val="24"/>
                      </w:rPr>
                    </w:pPr>
                    <w:r w:rsidRPr="00870796">
                      <w:rPr>
                        <w:position w:val="18"/>
                        <w:sz w:val="24"/>
                      </w:rPr>
                      <w:t>8</w:t>
                    </w:r>
                  </w:p>
                  <w:p w:rsidR="0064761C" w:rsidRPr="00870796" w:rsidRDefault="0064761C">
                    <w:pPr>
                      <w:spacing w:line="480" w:lineRule="exact"/>
                      <w:jc w:val="right"/>
                      <w:rPr>
                        <w:position w:val="18"/>
                        <w:sz w:val="24"/>
                      </w:rPr>
                    </w:pPr>
                    <w:r w:rsidRPr="00870796">
                      <w:rPr>
                        <w:position w:val="18"/>
                        <w:sz w:val="24"/>
                      </w:rPr>
                      <w:t>9</w:t>
                    </w:r>
                  </w:p>
                  <w:p w:rsidR="0064761C" w:rsidRPr="00870796" w:rsidRDefault="0064761C">
                    <w:pPr>
                      <w:spacing w:line="480" w:lineRule="exact"/>
                      <w:jc w:val="right"/>
                      <w:rPr>
                        <w:position w:val="18"/>
                        <w:sz w:val="24"/>
                      </w:rPr>
                    </w:pPr>
                    <w:r w:rsidRPr="00870796">
                      <w:rPr>
                        <w:position w:val="18"/>
                        <w:sz w:val="24"/>
                      </w:rPr>
                      <w:t>10</w:t>
                    </w:r>
                  </w:p>
                  <w:p w:rsidR="0064761C" w:rsidRPr="00870796" w:rsidRDefault="0064761C">
                    <w:pPr>
                      <w:spacing w:line="480" w:lineRule="exact"/>
                      <w:jc w:val="right"/>
                      <w:rPr>
                        <w:position w:val="18"/>
                        <w:sz w:val="24"/>
                      </w:rPr>
                    </w:pPr>
                    <w:r w:rsidRPr="00870796">
                      <w:rPr>
                        <w:position w:val="18"/>
                        <w:sz w:val="24"/>
                      </w:rPr>
                      <w:t>11</w:t>
                    </w:r>
                  </w:p>
                  <w:p w:rsidR="0064761C" w:rsidRPr="00870796" w:rsidRDefault="0064761C">
                    <w:pPr>
                      <w:spacing w:line="480" w:lineRule="exact"/>
                      <w:jc w:val="right"/>
                      <w:rPr>
                        <w:position w:val="18"/>
                        <w:sz w:val="24"/>
                      </w:rPr>
                    </w:pPr>
                    <w:r w:rsidRPr="00870796">
                      <w:rPr>
                        <w:position w:val="18"/>
                        <w:sz w:val="24"/>
                      </w:rPr>
                      <w:t>12</w:t>
                    </w:r>
                  </w:p>
                  <w:p w:rsidR="0064761C" w:rsidRPr="00870796" w:rsidRDefault="0064761C">
                    <w:pPr>
                      <w:spacing w:line="480" w:lineRule="exact"/>
                      <w:jc w:val="right"/>
                      <w:rPr>
                        <w:position w:val="18"/>
                        <w:sz w:val="24"/>
                      </w:rPr>
                    </w:pPr>
                    <w:r w:rsidRPr="00870796">
                      <w:rPr>
                        <w:position w:val="18"/>
                        <w:sz w:val="24"/>
                      </w:rPr>
                      <w:t>13</w:t>
                    </w:r>
                  </w:p>
                  <w:p w:rsidR="0064761C" w:rsidRPr="00870796" w:rsidRDefault="0064761C">
                    <w:pPr>
                      <w:spacing w:line="480" w:lineRule="exact"/>
                      <w:jc w:val="right"/>
                      <w:rPr>
                        <w:position w:val="18"/>
                        <w:sz w:val="24"/>
                      </w:rPr>
                    </w:pPr>
                    <w:r w:rsidRPr="00870796">
                      <w:rPr>
                        <w:position w:val="18"/>
                        <w:sz w:val="24"/>
                      </w:rPr>
                      <w:t>14</w:t>
                    </w:r>
                  </w:p>
                  <w:p w:rsidR="0064761C" w:rsidRPr="00870796" w:rsidRDefault="0064761C">
                    <w:pPr>
                      <w:spacing w:line="480" w:lineRule="exact"/>
                      <w:jc w:val="right"/>
                      <w:rPr>
                        <w:position w:val="18"/>
                        <w:sz w:val="24"/>
                      </w:rPr>
                    </w:pPr>
                    <w:r w:rsidRPr="00870796">
                      <w:rPr>
                        <w:position w:val="18"/>
                        <w:sz w:val="24"/>
                      </w:rPr>
                      <w:t>15</w:t>
                    </w:r>
                  </w:p>
                  <w:p w:rsidR="0064761C" w:rsidRPr="00870796" w:rsidRDefault="0064761C">
                    <w:pPr>
                      <w:spacing w:line="480" w:lineRule="exact"/>
                      <w:jc w:val="right"/>
                      <w:rPr>
                        <w:position w:val="18"/>
                        <w:sz w:val="24"/>
                      </w:rPr>
                    </w:pPr>
                    <w:r w:rsidRPr="00870796">
                      <w:rPr>
                        <w:position w:val="18"/>
                        <w:sz w:val="24"/>
                      </w:rPr>
                      <w:t>16</w:t>
                    </w:r>
                  </w:p>
                  <w:p w:rsidR="0064761C" w:rsidRPr="00870796" w:rsidRDefault="0064761C">
                    <w:pPr>
                      <w:spacing w:line="480" w:lineRule="exact"/>
                      <w:jc w:val="right"/>
                      <w:rPr>
                        <w:position w:val="18"/>
                        <w:sz w:val="24"/>
                      </w:rPr>
                    </w:pPr>
                    <w:r w:rsidRPr="00870796">
                      <w:rPr>
                        <w:position w:val="18"/>
                        <w:sz w:val="24"/>
                      </w:rPr>
                      <w:t>17</w:t>
                    </w:r>
                  </w:p>
                  <w:p w:rsidR="0064761C" w:rsidRPr="00870796" w:rsidRDefault="0064761C">
                    <w:pPr>
                      <w:spacing w:line="480" w:lineRule="exact"/>
                      <w:jc w:val="right"/>
                      <w:rPr>
                        <w:position w:val="18"/>
                        <w:sz w:val="24"/>
                      </w:rPr>
                    </w:pPr>
                    <w:r w:rsidRPr="00870796">
                      <w:rPr>
                        <w:position w:val="18"/>
                        <w:sz w:val="24"/>
                      </w:rPr>
                      <w:t>18</w:t>
                    </w:r>
                  </w:p>
                  <w:p w:rsidR="0064761C" w:rsidRPr="00870796" w:rsidRDefault="0064761C">
                    <w:pPr>
                      <w:spacing w:line="480" w:lineRule="exact"/>
                      <w:jc w:val="right"/>
                      <w:rPr>
                        <w:position w:val="18"/>
                        <w:sz w:val="24"/>
                      </w:rPr>
                    </w:pPr>
                    <w:r w:rsidRPr="00870796">
                      <w:rPr>
                        <w:position w:val="18"/>
                        <w:sz w:val="24"/>
                      </w:rPr>
                      <w:t>19</w:t>
                    </w:r>
                  </w:p>
                  <w:p w:rsidR="0064761C" w:rsidRPr="00870796" w:rsidRDefault="0064761C">
                    <w:pPr>
                      <w:spacing w:line="480" w:lineRule="exact"/>
                      <w:jc w:val="right"/>
                      <w:rPr>
                        <w:position w:val="18"/>
                        <w:sz w:val="24"/>
                      </w:rPr>
                    </w:pPr>
                    <w:r w:rsidRPr="00870796">
                      <w:rPr>
                        <w:position w:val="18"/>
                        <w:sz w:val="24"/>
                      </w:rPr>
                      <w:t>20</w:t>
                    </w:r>
                  </w:p>
                  <w:p w:rsidR="0064761C" w:rsidRPr="00870796" w:rsidRDefault="0064761C">
                    <w:pPr>
                      <w:spacing w:line="480" w:lineRule="exact"/>
                      <w:jc w:val="right"/>
                      <w:rPr>
                        <w:position w:val="18"/>
                        <w:sz w:val="24"/>
                      </w:rPr>
                    </w:pPr>
                    <w:r w:rsidRPr="00870796">
                      <w:rPr>
                        <w:position w:val="18"/>
                        <w:sz w:val="24"/>
                      </w:rPr>
                      <w:t>21</w:t>
                    </w:r>
                  </w:p>
                  <w:p w:rsidR="0064761C" w:rsidRPr="00870796" w:rsidRDefault="0064761C">
                    <w:pPr>
                      <w:spacing w:line="480" w:lineRule="exact"/>
                      <w:jc w:val="right"/>
                      <w:rPr>
                        <w:position w:val="18"/>
                        <w:sz w:val="24"/>
                      </w:rPr>
                    </w:pPr>
                    <w:r w:rsidRPr="00870796">
                      <w:rPr>
                        <w:position w:val="18"/>
                        <w:sz w:val="24"/>
                      </w:rPr>
                      <w:t>22</w:t>
                    </w:r>
                  </w:p>
                  <w:p w:rsidR="0064761C" w:rsidRPr="00870796" w:rsidRDefault="0064761C">
                    <w:pPr>
                      <w:spacing w:line="480" w:lineRule="exact"/>
                      <w:jc w:val="right"/>
                      <w:rPr>
                        <w:position w:val="18"/>
                        <w:sz w:val="24"/>
                      </w:rPr>
                    </w:pPr>
                    <w:r w:rsidRPr="00870796">
                      <w:rPr>
                        <w:position w:val="18"/>
                        <w:sz w:val="24"/>
                      </w:rPr>
                      <w:t>23</w:t>
                    </w:r>
                  </w:p>
                  <w:p w:rsidR="0064761C" w:rsidRPr="00870796" w:rsidRDefault="0064761C">
                    <w:pPr>
                      <w:spacing w:line="480" w:lineRule="exact"/>
                      <w:jc w:val="right"/>
                      <w:rPr>
                        <w:position w:val="18"/>
                        <w:sz w:val="24"/>
                      </w:rPr>
                    </w:pPr>
                    <w:r w:rsidRPr="00870796">
                      <w:rPr>
                        <w:position w:val="18"/>
                        <w:sz w:val="24"/>
                      </w:rPr>
                      <w:t>24</w:t>
                    </w:r>
                  </w:p>
                  <w:p w:rsidR="0064761C" w:rsidRPr="00870796" w:rsidRDefault="0064761C">
                    <w:pPr>
                      <w:spacing w:line="480" w:lineRule="exact"/>
                      <w:jc w:val="right"/>
                      <w:rPr>
                        <w:position w:val="18"/>
                        <w:sz w:val="24"/>
                      </w:rPr>
                    </w:pPr>
                    <w:r w:rsidRPr="00870796">
                      <w:rPr>
                        <w:position w:val="18"/>
                        <w:sz w:val="24"/>
                      </w:rPr>
                      <w:t>25</w:t>
                    </w:r>
                  </w:p>
                  <w:p w:rsidR="0064761C" w:rsidRPr="00870796" w:rsidRDefault="0064761C">
                    <w:pPr>
                      <w:spacing w:line="480" w:lineRule="exact"/>
                      <w:jc w:val="right"/>
                      <w:rPr>
                        <w:position w:val="18"/>
                        <w:sz w:val="24"/>
                      </w:rPr>
                    </w:pPr>
                    <w:r w:rsidRPr="00870796">
                      <w:rPr>
                        <w:position w:val="18"/>
                        <w:sz w:val="24"/>
                      </w:rPr>
                      <w:t>26</w:t>
                    </w:r>
                  </w:p>
                  <w:p w:rsidR="0064761C" w:rsidRPr="00870796" w:rsidRDefault="0064761C">
                    <w:pPr>
                      <w:spacing w:line="480" w:lineRule="exact"/>
                      <w:jc w:val="right"/>
                      <w:rPr>
                        <w:position w:val="18"/>
                        <w:sz w:val="24"/>
                      </w:rPr>
                    </w:pPr>
                    <w:r w:rsidRPr="00870796">
                      <w:rPr>
                        <w:position w:val="18"/>
                        <w:sz w:val="24"/>
                      </w:rPr>
                      <w:t>27</w:t>
                    </w:r>
                  </w:p>
                  <w:p w:rsidR="0064761C" w:rsidRPr="00870796" w:rsidRDefault="0064761C">
                    <w:pPr>
                      <w:spacing w:line="480" w:lineRule="exact"/>
                      <w:jc w:val="right"/>
                      <w:rPr>
                        <w:position w:val="18"/>
                        <w:sz w:val="24"/>
                      </w:rPr>
                    </w:pPr>
                    <w:r w:rsidRPr="00870796">
                      <w:rPr>
                        <w:position w:val="18"/>
                        <w:sz w:val="24"/>
                      </w:rPr>
                      <w:t>28</w:t>
                    </w:r>
                  </w:p>
                  <w:p w:rsidR="0064761C" w:rsidRDefault="0064761C">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670AD7EA" wp14:editId="260A0C5E">
              <wp:simplePos x="0" y="0"/>
              <wp:positionH relativeFrom="margin">
                <wp:posOffset>6583680</wp:posOffset>
              </wp:positionH>
              <wp:positionV relativeFrom="page">
                <wp:posOffset>0</wp:posOffset>
              </wp:positionV>
              <wp:extent cx="0" cy="10058400"/>
              <wp:effectExtent l="11430" t="9525" r="7620" b="952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E6949" id="RightBorder"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18.4pt,0" to="518.4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8240" behindDoc="0" locked="0" layoutInCell="1" allowOverlap="1" wp14:anchorId="6A893C40" wp14:editId="2DD955B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FB508" id="LeftBorder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05BB227C" wp14:editId="772694F5">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32EF2" id="LeftBorder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61C" w:rsidRDefault="00DD0D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7" type="#_x0000_t136" style="position:absolute;margin-left:0;margin-top:0;width:560.6pt;height:160.15pt;rotation:315;z-index:-251661312;mso-position-horizontal:center;mso-position-horizontal-relative:margin;mso-position-vertical:center;mso-position-vertical-relative:margin" o:allowincell="f" fillcolor="#ddd"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7DA1"/>
    <w:multiLevelType w:val="hybridMultilevel"/>
    <w:tmpl w:val="DCFEC06E"/>
    <w:lvl w:ilvl="0" w:tplc="D2FCB32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B30E5"/>
    <w:multiLevelType w:val="hybridMultilevel"/>
    <w:tmpl w:val="EFDA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47DA6"/>
    <w:multiLevelType w:val="hybridMultilevel"/>
    <w:tmpl w:val="3108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8616D"/>
    <w:multiLevelType w:val="hybridMultilevel"/>
    <w:tmpl w:val="B8681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216E3D"/>
    <w:multiLevelType w:val="hybridMultilevel"/>
    <w:tmpl w:val="2884D91E"/>
    <w:lvl w:ilvl="0" w:tplc="5E16F2E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23F3094"/>
    <w:multiLevelType w:val="hybridMultilevel"/>
    <w:tmpl w:val="947E429A"/>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54365D64"/>
    <w:multiLevelType w:val="hybridMultilevel"/>
    <w:tmpl w:val="D93A4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41FE3"/>
    <w:multiLevelType w:val="hybridMultilevel"/>
    <w:tmpl w:val="BC825A8A"/>
    <w:lvl w:ilvl="0" w:tplc="A7E45AB0">
      <w:start w:val="1"/>
      <w:numFmt w:val="upperLetter"/>
      <w:lvlText w:val="%1."/>
      <w:lvlJc w:val="left"/>
      <w:pPr>
        <w:ind w:left="1080" w:hanging="360"/>
      </w:pPr>
      <w:rPr>
        <w:rFonts w:ascii="Times New Roman" w:hAnsi="Times New Roman" w:cs="Times New Roman" w:hint="default"/>
        <w:b w:val="0"/>
        <w:bCs w:val="0"/>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0B5065"/>
    <w:multiLevelType w:val="hybridMultilevel"/>
    <w:tmpl w:val="49F0EE94"/>
    <w:lvl w:ilvl="0" w:tplc="B84AA73C">
      <w:start w:val="1"/>
      <w:numFmt w:val="decimal"/>
      <w:lvlText w:val="%1."/>
      <w:lvlJc w:val="left"/>
      <w:pPr>
        <w:ind w:left="1800" w:hanging="360"/>
      </w:pPr>
      <w:rPr>
        <w:rFonts w:ascii="TimesNewRomanPSMT" w:eastAsia="Times New Roman" w:hAnsi="TimesNewRomanPSMT"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99A4B57"/>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3"/>
  </w:num>
  <w:num w:numId="5">
    <w:abstractNumId w:val="2"/>
  </w:num>
  <w:num w:numId="6">
    <w:abstractNumId w:val="5"/>
  </w:num>
  <w:num w:numId="7">
    <w:abstractNumId w:val="7"/>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0"/>
    <w:docVar w:name="CourtAlignment" w:val="0"/>
    <w:docVar w:name="CourtName" w:val="~"/>
    <w:docVar w:name="FirmInFtr" w:val="0"/>
    <w:docVar w:name="FirmInSigBlkStyle" w:val="0"/>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8"/>
    <w:docVar w:name="PageNumsInFtr" w:val="0"/>
    <w:docVar w:name="RightBorderStyle" w:val="1"/>
    <w:docVar w:name="SigBlkYes" w:val="0"/>
    <w:docVar w:name="SignWith" w:val=" "/>
    <w:docVar w:name="SummaryInFtr" w:val="0"/>
  </w:docVars>
  <w:rsids>
    <w:rsidRoot w:val="00857258"/>
    <w:rsid w:val="00020672"/>
    <w:rsid w:val="00030E04"/>
    <w:rsid w:val="00036011"/>
    <w:rsid w:val="00043103"/>
    <w:rsid w:val="00061B9A"/>
    <w:rsid w:val="000804BB"/>
    <w:rsid w:val="00096A89"/>
    <w:rsid w:val="000A2CD9"/>
    <w:rsid w:val="000F27E8"/>
    <w:rsid w:val="001569B5"/>
    <w:rsid w:val="001624FB"/>
    <w:rsid w:val="0018242D"/>
    <w:rsid w:val="001A22AC"/>
    <w:rsid w:val="001B568A"/>
    <w:rsid w:val="001F596F"/>
    <w:rsid w:val="002061D8"/>
    <w:rsid w:val="002101C6"/>
    <w:rsid w:val="00251730"/>
    <w:rsid w:val="00257BB3"/>
    <w:rsid w:val="002C5191"/>
    <w:rsid w:val="002F1990"/>
    <w:rsid w:val="002F60FA"/>
    <w:rsid w:val="003039B8"/>
    <w:rsid w:val="00341417"/>
    <w:rsid w:val="00355FA7"/>
    <w:rsid w:val="00385A43"/>
    <w:rsid w:val="003D7C28"/>
    <w:rsid w:val="003F01D8"/>
    <w:rsid w:val="00401DC0"/>
    <w:rsid w:val="00411267"/>
    <w:rsid w:val="004273FA"/>
    <w:rsid w:val="004334D2"/>
    <w:rsid w:val="00474F25"/>
    <w:rsid w:val="00507049"/>
    <w:rsid w:val="005165F2"/>
    <w:rsid w:val="00533F17"/>
    <w:rsid w:val="00541235"/>
    <w:rsid w:val="005839DA"/>
    <w:rsid w:val="005D748A"/>
    <w:rsid w:val="005E7F77"/>
    <w:rsid w:val="005F1666"/>
    <w:rsid w:val="005F5A89"/>
    <w:rsid w:val="00627AA0"/>
    <w:rsid w:val="0063509A"/>
    <w:rsid w:val="0063527F"/>
    <w:rsid w:val="0064761C"/>
    <w:rsid w:val="00662263"/>
    <w:rsid w:val="00667AE2"/>
    <w:rsid w:val="00686EBD"/>
    <w:rsid w:val="00693A11"/>
    <w:rsid w:val="006B60DC"/>
    <w:rsid w:val="006B7FFD"/>
    <w:rsid w:val="006F4B4F"/>
    <w:rsid w:val="0070518F"/>
    <w:rsid w:val="00705B49"/>
    <w:rsid w:val="0072322F"/>
    <w:rsid w:val="0076536D"/>
    <w:rsid w:val="00786D02"/>
    <w:rsid w:val="007934B4"/>
    <w:rsid w:val="007940BA"/>
    <w:rsid w:val="007A0D7F"/>
    <w:rsid w:val="007C642A"/>
    <w:rsid w:val="007D07DD"/>
    <w:rsid w:val="007E342C"/>
    <w:rsid w:val="00805BA0"/>
    <w:rsid w:val="00846D87"/>
    <w:rsid w:val="00855E03"/>
    <w:rsid w:val="00857258"/>
    <w:rsid w:val="00863AF7"/>
    <w:rsid w:val="00870796"/>
    <w:rsid w:val="008D528C"/>
    <w:rsid w:val="009541B6"/>
    <w:rsid w:val="00975731"/>
    <w:rsid w:val="0099461F"/>
    <w:rsid w:val="009B2C05"/>
    <w:rsid w:val="009E22BC"/>
    <w:rsid w:val="009E6F5A"/>
    <w:rsid w:val="00A078DF"/>
    <w:rsid w:val="00A203E3"/>
    <w:rsid w:val="00A35456"/>
    <w:rsid w:val="00A67C1A"/>
    <w:rsid w:val="00A80090"/>
    <w:rsid w:val="00A911CF"/>
    <w:rsid w:val="00AE3ACF"/>
    <w:rsid w:val="00AE5DCA"/>
    <w:rsid w:val="00B058DD"/>
    <w:rsid w:val="00B210DC"/>
    <w:rsid w:val="00B22662"/>
    <w:rsid w:val="00B549A2"/>
    <w:rsid w:val="00B57C85"/>
    <w:rsid w:val="00B6058A"/>
    <w:rsid w:val="00B92BE2"/>
    <w:rsid w:val="00BA6807"/>
    <w:rsid w:val="00BF7B26"/>
    <w:rsid w:val="00C06978"/>
    <w:rsid w:val="00C111C6"/>
    <w:rsid w:val="00C12E9F"/>
    <w:rsid w:val="00C20B80"/>
    <w:rsid w:val="00C3701C"/>
    <w:rsid w:val="00C41AB5"/>
    <w:rsid w:val="00C42607"/>
    <w:rsid w:val="00C647D0"/>
    <w:rsid w:val="00C73B75"/>
    <w:rsid w:val="00C9697A"/>
    <w:rsid w:val="00CB28A5"/>
    <w:rsid w:val="00CB6EE7"/>
    <w:rsid w:val="00CE369B"/>
    <w:rsid w:val="00CF2145"/>
    <w:rsid w:val="00CF4B02"/>
    <w:rsid w:val="00D00DB6"/>
    <w:rsid w:val="00D16984"/>
    <w:rsid w:val="00D56445"/>
    <w:rsid w:val="00D61DBC"/>
    <w:rsid w:val="00D724A4"/>
    <w:rsid w:val="00D810E3"/>
    <w:rsid w:val="00D8256B"/>
    <w:rsid w:val="00DA06D9"/>
    <w:rsid w:val="00DD0D9A"/>
    <w:rsid w:val="00E05D66"/>
    <w:rsid w:val="00E06D6A"/>
    <w:rsid w:val="00E22B46"/>
    <w:rsid w:val="00E34947"/>
    <w:rsid w:val="00E529E2"/>
    <w:rsid w:val="00E54FA0"/>
    <w:rsid w:val="00E74CD7"/>
    <w:rsid w:val="00EA3E48"/>
    <w:rsid w:val="00ED6BD8"/>
    <w:rsid w:val="00F36966"/>
    <w:rsid w:val="00F55F28"/>
    <w:rsid w:val="00FB2D08"/>
    <w:rsid w:val="00FC75D1"/>
    <w:rsid w:val="00FF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5:docId w15:val="{0146A6A9-6A26-49E6-ADC2-DAEE486C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93" w:lineRule="exact"/>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46" w:lineRule="exact"/>
    </w:pPr>
  </w:style>
  <w:style w:type="paragraph" w:customStyle="1" w:styleId="15Spacing">
    <w:name w:val="1.5 Spacing"/>
    <w:basedOn w:val="Normal"/>
    <w:pPr>
      <w:spacing w:line="369"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576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2F60FA"/>
  </w:style>
  <w:style w:type="table" w:styleId="TableGrid">
    <w:name w:val="Table Grid"/>
    <w:basedOn w:val="TableNormal"/>
    <w:rsid w:val="0099461F"/>
    <w:pPr>
      <w:spacing w:line="493"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41417"/>
    <w:pPr>
      <w:spacing w:line="240" w:lineRule="auto"/>
    </w:pPr>
    <w:rPr>
      <w:rFonts w:ascii="Tahoma" w:hAnsi="Tahoma" w:cs="Tahoma"/>
      <w:sz w:val="16"/>
      <w:szCs w:val="16"/>
    </w:rPr>
  </w:style>
  <w:style w:type="character" w:customStyle="1" w:styleId="BalloonTextChar">
    <w:name w:val="Balloon Text Char"/>
    <w:link w:val="BalloonText"/>
    <w:rsid w:val="00341417"/>
    <w:rPr>
      <w:rFonts w:ascii="Tahoma" w:hAnsi="Tahoma" w:cs="Tahoma"/>
      <w:sz w:val="16"/>
      <w:szCs w:val="16"/>
    </w:rPr>
  </w:style>
  <w:style w:type="character" w:customStyle="1" w:styleId="FooterChar">
    <w:name w:val="Footer Char"/>
    <w:basedOn w:val="DefaultParagraphFont"/>
    <w:link w:val="Footer"/>
    <w:uiPriority w:val="99"/>
    <w:rsid w:val="00F36966"/>
  </w:style>
  <w:style w:type="character" w:styleId="Hyperlink">
    <w:name w:val="Hyperlink"/>
    <w:basedOn w:val="DefaultParagraphFont"/>
    <w:unhideWhenUsed/>
    <w:rsid w:val="005F1666"/>
    <w:rPr>
      <w:color w:val="0000FF" w:themeColor="hyperlink"/>
      <w:u w:val="single"/>
    </w:rPr>
  </w:style>
  <w:style w:type="paragraph" w:styleId="ListParagraph">
    <w:name w:val="List Paragraph"/>
    <w:basedOn w:val="Normal"/>
    <w:uiPriority w:val="34"/>
    <w:qFormat/>
    <w:rsid w:val="001F596F"/>
    <w:pPr>
      <w:ind w:left="720"/>
      <w:contextualSpacing/>
    </w:pPr>
  </w:style>
  <w:style w:type="paragraph" w:styleId="TOAHeading">
    <w:name w:val="toa heading"/>
    <w:basedOn w:val="Normal"/>
    <w:next w:val="Normal"/>
    <w:uiPriority w:val="99"/>
    <w:semiHidden/>
    <w:unhideWhenUsed/>
    <w:rsid w:val="001F596F"/>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1F596F"/>
    <w:pPr>
      <w:ind w:left="200" w:hanging="200"/>
    </w:pPr>
  </w:style>
  <w:style w:type="paragraph" w:styleId="FootnoteText">
    <w:name w:val="footnote text"/>
    <w:basedOn w:val="Normal"/>
    <w:link w:val="FootnoteTextChar"/>
    <w:uiPriority w:val="99"/>
    <w:semiHidden/>
    <w:unhideWhenUsed/>
    <w:rsid w:val="00D8256B"/>
  </w:style>
  <w:style w:type="character" w:customStyle="1" w:styleId="FootnoteTextChar">
    <w:name w:val="Footnote Text Char"/>
    <w:basedOn w:val="DefaultParagraphFont"/>
    <w:link w:val="FootnoteText"/>
    <w:uiPriority w:val="99"/>
    <w:semiHidden/>
    <w:rsid w:val="00D8256B"/>
  </w:style>
  <w:style w:type="character" w:styleId="FootnoteReference">
    <w:name w:val="footnote reference"/>
    <w:uiPriority w:val="99"/>
    <w:semiHidden/>
    <w:unhideWhenUsed/>
    <w:rsid w:val="00D8256B"/>
    <w:rPr>
      <w:vertAlign w:val="superscript"/>
    </w:rPr>
  </w:style>
  <w:style w:type="character" w:customStyle="1" w:styleId="apple-converted-space">
    <w:name w:val="apple-converted-space"/>
    <w:basedOn w:val="DefaultParagraphFont"/>
    <w:rsid w:val="0018242D"/>
  </w:style>
  <w:style w:type="character" w:customStyle="1" w:styleId="counderline">
    <w:name w:val="co_underline"/>
    <w:basedOn w:val="DefaultParagraphFont"/>
    <w:rsid w:val="0018242D"/>
  </w:style>
  <w:style w:type="character" w:customStyle="1" w:styleId="cosearchterm">
    <w:name w:val="co_searchterm"/>
    <w:basedOn w:val="DefaultParagraphFont"/>
    <w:rsid w:val="0018242D"/>
  </w:style>
  <w:style w:type="character" w:customStyle="1" w:styleId="cohighlightpoints">
    <w:name w:val="co_highlightpoints"/>
    <w:basedOn w:val="DefaultParagraphFont"/>
    <w:rsid w:val="0018242D"/>
  </w:style>
  <w:style w:type="paragraph" w:styleId="NormalWeb">
    <w:name w:val="Normal (Web)"/>
    <w:basedOn w:val="Normal"/>
    <w:uiPriority w:val="99"/>
    <w:unhideWhenUsed/>
    <w:rsid w:val="0018242D"/>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36927">
      <w:bodyDiv w:val="1"/>
      <w:marLeft w:val="0"/>
      <w:marRight w:val="0"/>
      <w:marTop w:val="0"/>
      <w:marBottom w:val="0"/>
      <w:divBdr>
        <w:top w:val="none" w:sz="0" w:space="0" w:color="auto"/>
        <w:left w:val="none" w:sz="0" w:space="0" w:color="auto"/>
        <w:bottom w:val="none" w:sz="0" w:space="0" w:color="auto"/>
        <w:right w:val="none" w:sz="0" w:space="0" w:color="auto"/>
      </w:divBdr>
    </w:div>
    <w:div w:id="134755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oran@rivco.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times.com/world-nation/story/2020-03-29/coronavirus-choir-outbrea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hingtonpost.com/graphics/2020/world/coronavirus-south-korea-chur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1.next.westlaw.com/Link/Document/FullText?findType=Y&amp;serNum=1971127111&amp;pubNum=0000708&amp;originatingDoc=I811afbf0fd9211e58200cc8fe940080b&amp;refType=RP&amp;originationContext=document&amp;transitionType=DocumentItem&amp;contextData=(sc.Keycite)" TargetMode="External"/><Relationship Id="rId4" Type="http://schemas.openxmlformats.org/officeDocument/2006/relationships/settings" Target="settings.xml"/><Relationship Id="rId9" Type="http://schemas.openxmlformats.org/officeDocument/2006/relationships/hyperlink" Target="https://www.cisa.gov/identifying-critical-infrastructure-during-covid-19"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vans-Quiroz\Desktop\CA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BF920-5EC8-4F6D-808B-C936272F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CAPTION</Template>
  <TotalTime>758</TotalTime>
  <Pages>32</Pages>
  <Words>7986</Words>
  <Characters>44411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Pleading Wizard</vt:lpstr>
    </vt:vector>
  </TitlesOfParts>
  <Company>Riverside County</Company>
  <LinksUpToDate>false</LinksUpToDate>
  <CharactersWithSpaces>52293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Evans-Quiroz, Michelle</dc:creator>
  <cp:lastModifiedBy>Moran, Kelly</cp:lastModifiedBy>
  <cp:revision>12</cp:revision>
  <cp:lastPrinted>2010-01-06T15:14:00Z</cp:lastPrinted>
  <dcterms:created xsi:type="dcterms:W3CDTF">2020-04-16T20:38:00Z</dcterms:created>
  <dcterms:modified xsi:type="dcterms:W3CDTF">2020-04-17T14:08:00Z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SaveLocal">
    <vt:bool>true</vt:bool>
  </property>
</Properties>
</file>